
<file path=[Content_Types].xml><?xml version="1.0" encoding="utf-8"?>
<Types xmlns="http://schemas.openxmlformats.org/package/2006/content-types">
  <Override PartName="/word/webSettings.xml" ContentType="application/vnd.openxmlformats-officedocument.wordprocessingml.webSettings+xml"/>
  <Override PartName="/word/footnotes.xml" ContentType="application/vnd.openxmlformats-officedocument.wordprocessingml.footnotes+xml"/>
  <Override PartName="/word/header1.xml" ContentType="application/vnd.openxmlformats-officedocument.wordprocessingml.header+xml"/>
  <Override PartName="/word/endnotes.xml" ContentType="application/vnd.openxmlformats-officedocument.wordprocessingml.endnotes+xml"/>
  <Default Extension="png" ContentType="image/png"/>
  <Default Extension="pict" ContentType="image/pict"/>
  <Override PartName="/word/numbering.xml" ContentType="application/vnd.openxmlformats-officedocument.wordprocessingml.numbering+xml"/>
  <Override PartName="/word/document.xml" ContentType="application/vnd.openxmlformats-officedocument.wordprocessingml.document.main+xml"/>
  <Default Extension="xml" ContentType="application/xml"/>
  <Override PartName="/word/fontTable.xml" ContentType="application/vnd.openxmlformats-officedocument.wordprocessingml.fontTable+xml"/>
  <Override PartName="/word/footer1.xml" ContentType="application/vnd.openxmlformats-officedocument.wordprocessingml.footer+xml"/>
  <Default Extension="wmf" ContentType="image/x-wmf"/>
  <Override PartName="/word/theme/theme1.xml" ContentType="application/vnd.openxmlformats-officedocument.theme+xml"/>
  <Default Extension="tiff" ContentType="image/tiff"/>
  <Override PartName="/docProps/app.xml" ContentType="application/vnd.openxmlformats-officedocument.extended-properties+xml"/>
  <Default Extension="pdf" ContentType="application/pdf"/>
  <Override PartName="/word/header2.xml" ContentType="application/vnd.openxmlformats-officedocument.wordprocessingml.header+xml"/>
  <Default Extension="jpeg" ContentType="image/jpeg"/>
  <Override PartName="/word/settings.xml" ContentType="application/vnd.openxmlformats-officedocument.wordprocessingml.settings+xml"/>
  <Default Extension="rels" ContentType="application/vnd.openxmlformats-package.relationships+xml"/>
  <Default Extension="bin" ContentType="application/vnd.openxmlformats-officedocument.oleObject"/>
  <Override PartName="/word/styles.xml" ContentType="application/vnd.openxmlformats-officedocument.wordprocessingml.styles+xml"/>
  <Default Extension="emf" ContentType="image/x-emf"/>
  <Override PartName="/docProps/core.xml" ContentType="application/vnd.openxmlformats-package.core-properties+xml"/>
  <Override PartName="/word/footer2.xml" ContentType="application/vnd.openxmlformats-officedocument.wordprocessingml.footer+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ve:Ignorable="mv" ve:PreserveAttributes="mv:*">
  <w:body>
    <w:p w:rsidR="00404448" w:rsidRDefault="00404448">
      <w:pPr>
        <w:pStyle w:val="Header"/>
        <w:tabs>
          <w:tab w:val="clear" w:pos="4320"/>
          <w:tab w:val="clear" w:pos="8640"/>
        </w:tabs>
        <w:rPr>
          <w:rFonts w:ascii="Times" w:hAnsi="Times"/>
        </w:rPr>
      </w:pPr>
    </w:p>
    <w:p w:rsidR="00404448" w:rsidRDefault="00404448">
      <w:pPr>
        <w:pStyle w:val="Header"/>
        <w:tabs>
          <w:tab w:val="clear" w:pos="4320"/>
          <w:tab w:val="clear" w:pos="8640"/>
        </w:tabs>
        <w:rPr>
          <w:rFonts w:ascii="Times" w:hAnsi="Times"/>
        </w:rPr>
      </w:pPr>
    </w:p>
    <w:p w:rsidR="00404448" w:rsidRDefault="000518AB">
      <w:pPr>
        <w:pStyle w:val="Header"/>
        <w:tabs>
          <w:tab w:val="clear" w:pos="4320"/>
          <w:tab w:val="clear" w:pos="8640"/>
        </w:tabs>
        <w:rPr>
          <w:rFonts w:ascii="Times" w:hAnsi="Times"/>
        </w:rPr>
      </w:pPr>
      <w:r>
        <w:rPr>
          <w:rFonts w:ascii="Times" w:hAnsi="Times"/>
          <w:noProof/>
        </w:rPr>
        <w:drawing>
          <wp:anchor distT="0" distB="0" distL="114300" distR="114300" simplePos="0" relativeHeight="251655168" behindDoc="0" locked="0" layoutInCell="0" allowOverlap="1">
            <wp:simplePos x="0" y="0"/>
            <wp:positionH relativeFrom="column">
              <wp:posOffset>3709035</wp:posOffset>
            </wp:positionH>
            <wp:positionV relativeFrom="paragraph">
              <wp:posOffset>116840</wp:posOffset>
            </wp:positionV>
            <wp:extent cx="1676400" cy="671195"/>
            <wp:effectExtent l="2540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srcRect/>
                    <a:stretch>
                      <a:fillRect/>
                    </a:stretch>
                  </pic:blipFill>
                  <pic:spPr bwMode="auto">
                    <a:xfrm>
                      <a:off x="0" y="0"/>
                      <a:ext cx="1676400" cy="671195"/>
                    </a:xfrm>
                    <a:prstGeom prst="rect">
                      <a:avLst/>
                    </a:prstGeom>
                    <a:noFill/>
                  </pic:spPr>
                </pic:pic>
              </a:graphicData>
            </a:graphic>
          </wp:anchor>
        </w:drawing>
      </w:r>
      <w:r>
        <w:rPr>
          <w:rFonts w:ascii="Times" w:hAnsi="Times"/>
          <w:noProof/>
        </w:rPr>
        <w:drawing>
          <wp:inline distT="0" distB="0" distL="0" distR="0">
            <wp:extent cx="1070610" cy="942975"/>
            <wp:effectExtent l="25400" t="0" r="0" b="0"/>
            <wp:docPr id="5" name="Picture 5" descr="NAS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ASA Logo"/>
                    <pic:cNvPicPr>
                      <a:picLocks noChangeAspect="1" noChangeArrowheads="1"/>
                    </pic:cNvPicPr>
                  </pic:nvPicPr>
                  <pic:blipFill>
                    <a:blip r:embed="rId8"/>
                    <a:srcRect/>
                    <a:stretch>
                      <a:fillRect/>
                    </a:stretch>
                  </pic:blipFill>
                  <pic:spPr bwMode="auto">
                    <a:xfrm>
                      <a:off x="0" y="0"/>
                      <a:ext cx="1070610" cy="942975"/>
                    </a:xfrm>
                    <a:prstGeom prst="rect">
                      <a:avLst/>
                    </a:prstGeom>
                    <a:noFill/>
                    <a:ln w="9525">
                      <a:noFill/>
                      <a:miter lim="800000"/>
                      <a:headEnd/>
                      <a:tailEnd/>
                    </a:ln>
                  </pic:spPr>
                </pic:pic>
              </a:graphicData>
            </a:graphic>
          </wp:inline>
        </w:drawing>
      </w:r>
    </w:p>
    <w:p w:rsidR="00404448" w:rsidRDefault="00404448">
      <w:pPr>
        <w:rPr>
          <w:rFonts w:ascii="Times" w:hAnsi="Times"/>
          <w:sz w:val="48"/>
        </w:rPr>
      </w:pPr>
    </w:p>
    <w:p w:rsidR="00404448" w:rsidRDefault="00404448" w:rsidP="00404448">
      <w:pPr>
        <w:jc w:val="center"/>
        <w:outlineLvl w:val="0"/>
        <w:rPr>
          <w:rFonts w:ascii="Times" w:hAnsi="Times"/>
          <w:b/>
          <w:i/>
          <w:sz w:val="48"/>
        </w:rPr>
      </w:pPr>
      <w:r>
        <w:rPr>
          <w:rFonts w:ascii="Times" w:hAnsi="Times"/>
          <w:b/>
          <w:i/>
          <w:sz w:val="48"/>
        </w:rPr>
        <w:t>Kepler: A Search for Terrestrial Planets</w:t>
      </w:r>
    </w:p>
    <w:p w:rsidR="00404448" w:rsidRDefault="00404448">
      <w:pPr>
        <w:jc w:val="center"/>
        <w:rPr>
          <w:rFonts w:ascii="Times" w:hAnsi="Times"/>
          <w:sz w:val="36"/>
        </w:rPr>
      </w:pPr>
    </w:p>
    <w:p w:rsidR="00404448" w:rsidRPr="002D75DE" w:rsidRDefault="00404448" w:rsidP="00404448">
      <w:pPr>
        <w:jc w:val="center"/>
        <w:outlineLvl w:val="0"/>
        <w:rPr>
          <w:rFonts w:ascii="Times" w:hAnsi="Times"/>
          <w:sz w:val="36"/>
          <w:lang w:val="nb-NO"/>
        </w:rPr>
      </w:pPr>
      <w:r w:rsidRPr="00521527">
        <w:rPr>
          <w:rFonts w:ascii="Times" w:hAnsi="Times"/>
          <w:i/>
          <w:sz w:val="36"/>
          <w:lang w:val="nb-NO"/>
        </w:rPr>
        <w:t>Kepler</w:t>
      </w:r>
      <w:r w:rsidRPr="002D75DE">
        <w:rPr>
          <w:rFonts w:ascii="Times" w:hAnsi="Times"/>
          <w:sz w:val="36"/>
          <w:lang w:val="nb-NO"/>
        </w:rPr>
        <w:t xml:space="preserve"> Instrument Handbook</w:t>
      </w:r>
    </w:p>
    <w:p w:rsidR="00404448" w:rsidRPr="002D75DE" w:rsidRDefault="00404448">
      <w:pPr>
        <w:pStyle w:val="Header"/>
        <w:tabs>
          <w:tab w:val="clear" w:pos="4320"/>
          <w:tab w:val="clear" w:pos="8640"/>
        </w:tabs>
        <w:rPr>
          <w:rFonts w:ascii="Times" w:hAnsi="Times"/>
          <w:lang w:val="nb-NO"/>
        </w:rPr>
      </w:pPr>
    </w:p>
    <w:p w:rsidR="00404448" w:rsidRPr="002D75DE" w:rsidRDefault="00404448">
      <w:pPr>
        <w:rPr>
          <w:rFonts w:ascii="Times" w:hAnsi="Times"/>
          <w:lang w:val="nb-NO"/>
        </w:rPr>
      </w:pPr>
    </w:p>
    <w:p w:rsidR="00404448" w:rsidRPr="002D75DE" w:rsidRDefault="00404448">
      <w:pPr>
        <w:rPr>
          <w:rFonts w:ascii="Times" w:hAnsi="Times"/>
          <w:lang w:val="nb-NO"/>
        </w:rPr>
      </w:pPr>
    </w:p>
    <w:p w:rsidR="00404448" w:rsidRPr="002D75DE" w:rsidRDefault="00404448">
      <w:pPr>
        <w:rPr>
          <w:rFonts w:ascii="Times" w:hAnsi="Times"/>
          <w:lang w:val="nb-NO"/>
        </w:rPr>
      </w:pPr>
    </w:p>
    <w:p w:rsidR="00404448" w:rsidRPr="002D75DE" w:rsidRDefault="00404448" w:rsidP="00404448">
      <w:pPr>
        <w:pStyle w:val="Header"/>
        <w:tabs>
          <w:tab w:val="clear" w:pos="4320"/>
          <w:tab w:val="clear" w:pos="8640"/>
        </w:tabs>
        <w:jc w:val="center"/>
        <w:outlineLvl w:val="0"/>
        <w:rPr>
          <w:rFonts w:ascii="Times" w:hAnsi="Times"/>
          <w:lang w:val="nb-NO"/>
        </w:rPr>
      </w:pPr>
      <w:r w:rsidRPr="002D75DE">
        <w:rPr>
          <w:rFonts w:ascii="Times" w:hAnsi="Times"/>
          <w:lang w:val="nb-NO"/>
        </w:rPr>
        <w:t>KSCI-19033</w:t>
      </w:r>
      <w:r w:rsidR="00910116">
        <w:rPr>
          <w:rFonts w:ascii="Times" w:hAnsi="Times"/>
          <w:lang w:val="nb-NO"/>
        </w:rPr>
        <w:t>-002</w:t>
      </w:r>
    </w:p>
    <w:p w:rsidR="00404448" w:rsidRPr="002D75DE" w:rsidRDefault="00E90940" w:rsidP="00404448">
      <w:pPr>
        <w:jc w:val="center"/>
        <w:outlineLvl w:val="0"/>
        <w:rPr>
          <w:rFonts w:ascii="Times" w:hAnsi="Times"/>
          <w:lang w:val="nb-NO"/>
        </w:rPr>
      </w:pPr>
      <w:r>
        <w:rPr>
          <w:rFonts w:ascii="Times" w:hAnsi="Times"/>
          <w:lang w:val="nb-NO"/>
        </w:rPr>
        <w:t>22</w:t>
      </w:r>
      <w:r w:rsidR="00877102">
        <w:rPr>
          <w:rFonts w:ascii="Times" w:hAnsi="Times"/>
          <w:lang w:val="nb-NO"/>
        </w:rPr>
        <w:t xml:space="preserve"> Apr</w:t>
      </w:r>
      <w:r w:rsidR="00910116">
        <w:rPr>
          <w:rFonts w:ascii="Times" w:hAnsi="Times"/>
          <w:lang w:val="nb-NO"/>
        </w:rPr>
        <w:t>il</w:t>
      </w:r>
      <w:r w:rsidR="00877102">
        <w:rPr>
          <w:rFonts w:ascii="Times" w:hAnsi="Times"/>
          <w:lang w:val="nb-NO"/>
        </w:rPr>
        <w:t xml:space="preserve"> 2016</w:t>
      </w:r>
    </w:p>
    <w:p w:rsidR="00404448" w:rsidRPr="002D75DE" w:rsidRDefault="00404448">
      <w:pPr>
        <w:jc w:val="center"/>
        <w:rPr>
          <w:rFonts w:ascii="Times" w:hAnsi="Times"/>
          <w:lang w:val="nb-NO"/>
        </w:rPr>
      </w:pPr>
    </w:p>
    <w:p w:rsidR="00404448" w:rsidRPr="002D75DE" w:rsidRDefault="00404448">
      <w:pPr>
        <w:jc w:val="center"/>
        <w:rPr>
          <w:rFonts w:ascii="Times" w:hAnsi="Times"/>
          <w:lang w:val="nb-NO"/>
        </w:rPr>
      </w:pPr>
    </w:p>
    <w:p w:rsidR="00404448" w:rsidRPr="002D75DE" w:rsidRDefault="00404448">
      <w:pPr>
        <w:jc w:val="center"/>
        <w:rPr>
          <w:rFonts w:ascii="Times" w:hAnsi="Times"/>
          <w:lang w:val="nb-NO"/>
        </w:rPr>
      </w:pPr>
    </w:p>
    <w:p w:rsidR="00404448" w:rsidRPr="002D75DE" w:rsidRDefault="00404448">
      <w:pPr>
        <w:jc w:val="center"/>
        <w:rPr>
          <w:rFonts w:ascii="Times" w:hAnsi="Times"/>
          <w:lang w:val="nb-NO"/>
        </w:rPr>
      </w:pPr>
    </w:p>
    <w:p w:rsidR="00404448" w:rsidRPr="002D75DE" w:rsidRDefault="00404448">
      <w:pPr>
        <w:jc w:val="center"/>
        <w:rPr>
          <w:rFonts w:ascii="Times" w:hAnsi="Times"/>
          <w:lang w:val="nb-NO"/>
        </w:rPr>
      </w:pPr>
    </w:p>
    <w:p w:rsidR="00404448" w:rsidRPr="002D75DE" w:rsidRDefault="00404448">
      <w:pPr>
        <w:jc w:val="center"/>
        <w:rPr>
          <w:rFonts w:ascii="Times" w:hAnsi="Times"/>
          <w:lang w:val="nb-NO"/>
        </w:rPr>
      </w:pPr>
    </w:p>
    <w:p w:rsidR="00404448" w:rsidRPr="002D75DE" w:rsidRDefault="00404448">
      <w:pPr>
        <w:jc w:val="center"/>
        <w:rPr>
          <w:rFonts w:ascii="Times" w:hAnsi="Times"/>
          <w:lang w:val="nb-NO"/>
        </w:rPr>
      </w:pPr>
    </w:p>
    <w:p w:rsidR="00404448" w:rsidRPr="002D75DE" w:rsidRDefault="00404448">
      <w:pPr>
        <w:spacing w:after="0"/>
        <w:jc w:val="center"/>
        <w:rPr>
          <w:rFonts w:ascii="Times" w:hAnsi="Times"/>
          <w:lang w:val="nb-NO"/>
        </w:rPr>
      </w:pPr>
    </w:p>
    <w:p w:rsidR="00404448" w:rsidRDefault="00404448" w:rsidP="00404448">
      <w:pPr>
        <w:spacing w:after="0"/>
        <w:jc w:val="center"/>
        <w:outlineLvl w:val="0"/>
        <w:rPr>
          <w:rFonts w:ascii="Times" w:hAnsi="Times"/>
          <w:b/>
        </w:rPr>
      </w:pPr>
      <w:r>
        <w:rPr>
          <w:rFonts w:ascii="Times" w:hAnsi="Times"/>
          <w:b/>
        </w:rPr>
        <w:t>NASA Ames Research Center</w:t>
      </w:r>
    </w:p>
    <w:p w:rsidR="00404448" w:rsidRDefault="00404448" w:rsidP="00404448">
      <w:pPr>
        <w:spacing w:after="0"/>
        <w:jc w:val="center"/>
        <w:outlineLvl w:val="0"/>
        <w:rPr>
          <w:rFonts w:ascii="Times" w:hAnsi="Times"/>
          <w:b/>
        </w:rPr>
      </w:pPr>
      <w:r>
        <w:rPr>
          <w:rFonts w:ascii="Times" w:hAnsi="Times"/>
          <w:b/>
        </w:rPr>
        <w:t>Moffett Field, CA.  94035</w:t>
      </w:r>
    </w:p>
    <w:p w:rsidR="00404448" w:rsidRDefault="00404448">
      <w:pPr>
        <w:rPr>
          <w:rFonts w:ascii="Times" w:hAnsi="Times"/>
        </w:rPr>
      </w:pPr>
    </w:p>
    <w:p w:rsidR="00404448" w:rsidRDefault="00404448">
      <w:pPr>
        <w:rPr>
          <w:rFonts w:ascii="Times" w:hAnsi="Times"/>
        </w:rPr>
      </w:pPr>
    </w:p>
    <w:p w:rsidR="00404448" w:rsidRPr="009800EA" w:rsidRDefault="00404448" w:rsidP="00404448">
      <w:pPr>
        <w:jc w:val="center"/>
        <w:rPr>
          <w:b/>
        </w:rPr>
      </w:pPr>
    </w:p>
    <w:p w:rsidR="00404448" w:rsidRDefault="00404448">
      <w:pPr>
        <w:rPr>
          <w:rFonts w:ascii="Times" w:hAnsi="Times"/>
        </w:rPr>
      </w:pPr>
    </w:p>
    <w:p w:rsidR="00404448" w:rsidRDefault="00404448">
      <w:pPr>
        <w:rPr>
          <w:rFonts w:ascii="Times" w:hAnsi="Times"/>
        </w:rPr>
        <w:sectPr w:rsidR="00404448">
          <w:headerReference w:type="default" r:id="rId9"/>
          <w:footerReference w:type="default" r:id="rId10"/>
          <w:pgSz w:w="12240" w:h="15840"/>
          <w:pgMar w:top="1440" w:right="1800" w:bottom="1440" w:left="1800" w:gutter="0"/>
          <w:titlePg/>
        </w:sectPr>
      </w:pPr>
    </w:p>
    <w:p w:rsidR="00404448" w:rsidRDefault="00404448">
      <w:pPr>
        <w:pStyle w:val="Header"/>
        <w:tabs>
          <w:tab w:val="clear" w:pos="4320"/>
          <w:tab w:val="clear" w:pos="8640"/>
        </w:tabs>
        <w:rPr>
          <w:rFonts w:ascii="Times" w:hAnsi="Times"/>
        </w:rPr>
      </w:pPr>
    </w:p>
    <w:p w:rsidR="00404448" w:rsidRDefault="00404448">
      <w:pPr>
        <w:rPr>
          <w:rFonts w:ascii="Times" w:hAnsi="Times"/>
        </w:rPr>
      </w:pPr>
    </w:p>
    <w:p w:rsidR="00404448" w:rsidRDefault="00404448">
      <w:pPr>
        <w:rPr>
          <w:rFonts w:ascii="Times" w:hAnsi="Times"/>
        </w:rPr>
      </w:pPr>
    </w:p>
    <w:p w:rsidR="00404448" w:rsidRDefault="00404448">
      <w:pPr>
        <w:rPr>
          <w:rFonts w:ascii="Times" w:hAnsi="Times"/>
        </w:rPr>
      </w:pPr>
    </w:p>
    <w:p w:rsidR="00404448" w:rsidRDefault="001516CC">
      <w:pPr>
        <w:spacing w:after="0"/>
        <w:ind w:left="1440"/>
        <w:rPr>
          <w:rFonts w:ascii="Times" w:hAnsi="Times"/>
          <w:color w:val="000000"/>
        </w:rPr>
      </w:pPr>
      <w:r>
        <w:rPr>
          <w:rFonts w:ascii="Times" w:hAnsi="Times"/>
          <w:noProof/>
          <w:color w:val="000000"/>
        </w:rPr>
        <w:drawing>
          <wp:inline distT="0" distB="0" distL="0" distR="0">
            <wp:extent cx="4739640" cy="3553968"/>
            <wp:effectExtent l="25400" t="0" r="10160" b="0"/>
            <wp:docPr id="4" name="Picture 3" descr="SignaturesForKI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gnaturesForKIH.jpg"/>
                    <pic:cNvPicPr/>
                  </pic:nvPicPr>
                  <pic:blipFill>
                    <a:blip r:embed="rId11"/>
                    <a:stretch>
                      <a:fillRect/>
                    </a:stretch>
                  </pic:blipFill>
                  <pic:spPr>
                    <a:xfrm>
                      <a:off x="0" y="0"/>
                      <a:ext cx="4739640" cy="3553968"/>
                    </a:xfrm>
                    <a:prstGeom prst="rect">
                      <a:avLst/>
                    </a:prstGeom>
                  </pic:spPr>
                </pic:pic>
              </a:graphicData>
            </a:graphic>
          </wp:inline>
        </w:drawing>
      </w:r>
    </w:p>
    <w:p w:rsidR="00404448" w:rsidRDefault="00404448" w:rsidP="00872605">
      <w:pPr>
        <w:spacing w:after="0"/>
        <w:rPr>
          <w:rFonts w:ascii="Times" w:hAnsi="Times"/>
          <w:color w:val="000000"/>
        </w:rPr>
      </w:pPr>
    </w:p>
    <w:p w:rsidR="00404448" w:rsidRDefault="00404448" w:rsidP="00404448">
      <w:pPr>
        <w:rPr>
          <w:rFonts w:ascii="Times" w:hAnsi="Times"/>
          <w:color w:val="000000"/>
        </w:rPr>
      </w:pPr>
    </w:p>
    <w:p w:rsidR="00404448" w:rsidRDefault="00404448">
      <w:pPr>
        <w:rPr>
          <w:rFonts w:ascii="Times" w:hAnsi="Times"/>
        </w:rPr>
      </w:pPr>
    </w:p>
    <w:p w:rsidR="00404448" w:rsidRDefault="00404448" w:rsidP="00404448">
      <w:pPr>
        <w:jc w:val="center"/>
        <w:outlineLvl w:val="0"/>
        <w:rPr>
          <w:rFonts w:ascii="Times" w:hAnsi="Times"/>
          <w:b/>
        </w:rPr>
      </w:pPr>
      <w:r>
        <w:rPr>
          <w:rFonts w:ascii="Times" w:hAnsi="Times"/>
        </w:rPr>
        <w:br w:type="page"/>
      </w:r>
      <w:r>
        <w:rPr>
          <w:rFonts w:ascii="Times" w:hAnsi="Times"/>
          <w:b/>
        </w:rPr>
        <w:t>Document Control</w:t>
      </w:r>
    </w:p>
    <w:p w:rsidR="00404448" w:rsidRDefault="00404448">
      <w:pPr>
        <w:rPr>
          <w:rFonts w:ascii="Times" w:hAnsi="Times"/>
        </w:rPr>
      </w:pPr>
    </w:p>
    <w:p w:rsidR="00404448" w:rsidRDefault="00404448" w:rsidP="00404448">
      <w:pPr>
        <w:outlineLvl w:val="0"/>
        <w:rPr>
          <w:rFonts w:ascii="Times" w:hAnsi="Times"/>
          <w:u w:val="single"/>
        </w:rPr>
      </w:pPr>
      <w:r>
        <w:rPr>
          <w:rFonts w:ascii="Times" w:hAnsi="Times"/>
          <w:u w:val="single"/>
        </w:rPr>
        <w:t>Ownership</w:t>
      </w:r>
    </w:p>
    <w:p w:rsidR="00404448" w:rsidRDefault="00404448">
      <w:pPr>
        <w:pStyle w:val="BodyText3"/>
      </w:pPr>
      <w:r>
        <w:t>This document is part of the Kepler Project Documentation that is controlled by the Kepler Project Office, NASA/Ames Research Center, Moffett Field, California.</w:t>
      </w:r>
    </w:p>
    <w:p w:rsidR="00404448" w:rsidRDefault="00404448">
      <w:pPr>
        <w:rPr>
          <w:rFonts w:ascii="Times" w:hAnsi="Times"/>
          <w:b/>
        </w:rPr>
      </w:pPr>
    </w:p>
    <w:p w:rsidR="00404448" w:rsidRDefault="00404448" w:rsidP="00404448">
      <w:pPr>
        <w:outlineLvl w:val="0"/>
        <w:rPr>
          <w:rFonts w:ascii="Times" w:hAnsi="Times"/>
        </w:rPr>
      </w:pPr>
      <w:r>
        <w:rPr>
          <w:rFonts w:ascii="Times" w:hAnsi="Times"/>
          <w:u w:val="single"/>
        </w:rPr>
        <w:t>Control Level</w:t>
      </w:r>
    </w:p>
    <w:p w:rsidR="00404448" w:rsidRDefault="00404448">
      <w:pPr>
        <w:rPr>
          <w:rFonts w:ascii="Times" w:hAnsi="Times"/>
        </w:rPr>
      </w:pPr>
      <w:r>
        <w:rPr>
          <w:rFonts w:ascii="Times" w:hAnsi="Times"/>
        </w:rPr>
        <w:t xml:space="preserve">This document will be controlled under KPO @ Ames Configuration Management system.  Changes to this document </w:t>
      </w:r>
      <w:r>
        <w:rPr>
          <w:rFonts w:ascii="Times" w:hAnsi="Times"/>
          <w:b/>
        </w:rPr>
        <w:t>shall</w:t>
      </w:r>
      <w:r>
        <w:rPr>
          <w:rFonts w:ascii="Times" w:hAnsi="Times"/>
        </w:rPr>
        <w:t xml:space="preserve"> be controlled.</w:t>
      </w:r>
    </w:p>
    <w:p w:rsidR="00404448" w:rsidRDefault="00404448">
      <w:pPr>
        <w:rPr>
          <w:rFonts w:ascii="Times" w:hAnsi="Times"/>
        </w:rPr>
      </w:pPr>
    </w:p>
    <w:p w:rsidR="00404448" w:rsidRDefault="00404448" w:rsidP="00404448">
      <w:pPr>
        <w:outlineLvl w:val="0"/>
        <w:rPr>
          <w:rFonts w:ascii="Times" w:hAnsi="Times"/>
        </w:rPr>
      </w:pPr>
      <w:r>
        <w:rPr>
          <w:rFonts w:ascii="Times" w:hAnsi="Times"/>
          <w:u w:val="single"/>
        </w:rPr>
        <w:t>Physical Location</w:t>
      </w:r>
    </w:p>
    <w:p w:rsidR="00404448" w:rsidRDefault="00404448" w:rsidP="00404448">
      <w:pPr>
        <w:pStyle w:val="BodyText3"/>
        <w:outlineLvl w:val="0"/>
      </w:pPr>
      <w:r>
        <w:t>The physical location of this document will be in the KPO @ Ames Data Center.</w:t>
      </w:r>
    </w:p>
    <w:p w:rsidR="00404448" w:rsidRDefault="00404448">
      <w:pPr>
        <w:rPr>
          <w:rFonts w:ascii="Times" w:hAnsi="Times"/>
        </w:rPr>
      </w:pPr>
    </w:p>
    <w:p w:rsidR="00404448" w:rsidRDefault="00404448" w:rsidP="00404448">
      <w:pPr>
        <w:outlineLvl w:val="0"/>
        <w:rPr>
          <w:rFonts w:ascii="Times" w:hAnsi="Times"/>
          <w:u w:val="single"/>
        </w:rPr>
      </w:pPr>
      <w:r>
        <w:rPr>
          <w:rFonts w:ascii="Times" w:hAnsi="Times"/>
          <w:u w:val="single"/>
        </w:rPr>
        <w:t>Distribution Requests</w:t>
      </w:r>
    </w:p>
    <w:p w:rsidR="00404448" w:rsidRDefault="00404448" w:rsidP="00404448">
      <w:pPr>
        <w:pStyle w:val="BodyText3"/>
      </w:pPr>
      <w:r>
        <w:t>To be placed on the distribution list for additional revisions of this document, please address your request to the Kepler Science Office:</w:t>
      </w:r>
    </w:p>
    <w:p w:rsidR="00404448" w:rsidRDefault="00404448" w:rsidP="00404448">
      <w:pPr>
        <w:pStyle w:val="BodyText3"/>
      </w:pPr>
    </w:p>
    <w:p w:rsidR="00404448" w:rsidRPr="00325024" w:rsidRDefault="00404448" w:rsidP="00404448">
      <w:pPr>
        <w:pStyle w:val="BodyText3"/>
        <w:ind w:firstLine="720"/>
        <w:contextualSpacing/>
        <w:outlineLvl w:val="0"/>
      </w:pPr>
      <w:r>
        <w:t>Michael R. Haas</w:t>
      </w:r>
    </w:p>
    <w:p w:rsidR="00404448" w:rsidRPr="00325024" w:rsidRDefault="00404448" w:rsidP="00404448">
      <w:pPr>
        <w:pStyle w:val="BodyText3"/>
        <w:ind w:firstLine="720"/>
        <w:contextualSpacing/>
      </w:pPr>
      <w:r>
        <w:t>Kepler Science Office Director</w:t>
      </w:r>
    </w:p>
    <w:p w:rsidR="00404448" w:rsidRPr="00325024" w:rsidRDefault="00404448" w:rsidP="00404448">
      <w:pPr>
        <w:pStyle w:val="BodyText3"/>
        <w:ind w:firstLine="720"/>
        <w:contextualSpacing/>
      </w:pPr>
      <w:r w:rsidRPr="00325024">
        <w:t>MS 244-30</w:t>
      </w:r>
    </w:p>
    <w:p w:rsidR="00404448" w:rsidRPr="00325024" w:rsidRDefault="00404448" w:rsidP="00404448">
      <w:pPr>
        <w:pStyle w:val="BodyText3"/>
        <w:ind w:firstLine="720"/>
        <w:contextualSpacing/>
      </w:pPr>
      <w:r w:rsidRPr="00325024">
        <w:t>NASA Ames Research Center</w:t>
      </w:r>
    </w:p>
    <w:p w:rsidR="00404448" w:rsidRPr="00325024" w:rsidRDefault="00404448" w:rsidP="00404448">
      <w:pPr>
        <w:pStyle w:val="BodyText3"/>
        <w:ind w:firstLine="720"/>
        <w:contextualSpacing/>
      </w:pPr>
      <w:r w:rsidRPr="00325024">
        <w:t>Moffett Field, CA 94035-1000</w:t>
      </w:r>
    </w:p>
    <w:p w:rsidR="00404448" w:rsidRPr="00325024" w:rsidRDefault="00404448" w:rsidP="00404448">
      <w:pPr>
        <w:pStyle w:val="BodyText3"/>
        <w:contextualSpacing/>
      </w:pPr>
      <w:r>
        <w:t xml:space="preserve">            </w:t>
      </w:r>
      <w:r w:rsidR="005A3DF3">
        <w:t xml:space="preserve">  </w:t>
      </w:r>
      <w:r>
        <w:t>Michael.R.Haas@nasa.gov</w:t>
      </w:r>
    </w:p>
    <w:p w:rsidR="00404448" w:rsidRPr="0091745F" w:rsidRDefault="00404448" w:rsidP="00404448">
      <w:pPr>
        <w:rPr>
          <w:rFonts w:ascii="Times" w:hAnsi="Times"/>
        </w:rPr>
      </w:pPr>
      <w:r>
        <w:rPr>
          <w:rFonts w:ascii="Times" w:hAnsi="Times"/>
        </w:rPr>
        <w:br w:type="page"/>
      </w:r>
    </w:p>
    <w:p w:rsidR="00404448" w:rsidRDefault="00404448">
      <w:pPr>
        <w:jc w:val="center"/>
        <w:rPr>
          <w:rFonts w:ascii="Times" w:hAnsi="Times"/>
        </w:rPr>
      </w:pPr>
    </w:p>
    <w:p w:rsidR="00404448" w:rsidRDefault="00404448" w:rsidP="00404448">
      <w:pPr>
        <w:jc w:val="center"/>
        <w:outlineLvl w:val="0"/>
        <w:rPr>
          <w:rFonts w:ascii="Times" w:hAnsi="Times"/>
          <w:b/>
          <w:sz w:val="28"/>
          <w:lang w:val="fr-FR"/>
        </w:rPr>
      </w:pPr>
      <w:r>
        <w:rPr>
          <w:rFonts w:ascii="Times" w:hAnsi="Times"/>
          <w:b/>
          <w:sz w:val="28"/>
          <w:lang w:val="fr-FR"/>
        </w:rPr>
        <w:t>DOCUMENT CHANGE LOG</w:t>
      </w:r>
    </w:p>
    <w:p w:rsidR="00404448" w:rsidRPr="0091745F" w:rsidRDefault="0091745F">
      <w:pPr>
        <w:jc w:val="both"/>
        <w:rPr>
          <w:rFonts w:ascii="Times" w:hAnsi="Times"/>
          <w:sz w:val="22"/>
          <w:lang w:val="fr-FR"/>
        </w:rPr>
      </w:pPr>
      <w:r w:rsidRPr="0091745F">
        <w:rPr>
          <w:rFonts w:ascii="Times" w:hAnsi="Times"/>
          <w:sz w:val="22"/>
          <w:lang w:val="fr-FR"/>
        </w:rPr>
        <w:t xml:space="preserve">For </w:t>
      </w:r>
      <w:r w:rsidRPr="0091745F">
        <w:rPr>
          <w:rFonts w:ascii="Times" w:hAnsi="Times"/>
          <w:sz w:val="22"/>
          <w:lang w:val="nb-NO"/>
        </w:rPr>
        <w:t>KSCI-19033-002</w:t>
      </w:r>
    </w:p>
    <w:tbl>
      <w:tblPr>
        <w:tblW w:w="9660" w:type="dxa"/>
        <w:tblInd w:w="-3" w:type="dxa"/>
        <w:tblLook w:val="0000"/>
      </w:tblPr>
      <w:tblGrid>
        <w:gridCol w:w="920"/>
        <w:gridCol w:w="1460"/>
        <w:gridCol w:w="7280"/>
      </w:tblGrid>
      <w:tr w:rsidR="00C044CE" w:rsidRPr="00C044CE">
        <w:trPr>
          <w:trHeight w:val="300"/>
        </w:trPr>
        <w:tc>
          <w:tcPr>
            <w:tcW w:w="92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rPr>
                <w:rFonts w:ascii="Verdana" w:hAnsi="Verdana"/>
                <w:sz w:val="16"/>
                <w:szCs w:val="16"/>
              </w:rPr>
            </w:pPr>
            <w:r w:rsidRPr="00C044CE">
              <w:rPr>
                <w:rFonts w:ascii="Verdana" w:hAnsi="Verdana"/>
                <w:sz w:val="16"/>
                <w:szCs w:val="16"/>
              </w:rPr>
              <w:t>#</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rPr>
                <w:sz w:val="16"/>
                <w:szCs w:val="16"/>
              </w:rPr>
            </w:pPr>
            <w:r w:rsidRPr="00C044CE">
              <w:rPr>
                <w:sz w:val="16"/>
                <w:szCs w:val="16"/>
              </w:rPr>
              <w:t>Section</w:t>
            </w:r>
          </w:p>
        </w:tc>
        <w:tc>
          <w:tcPr>
            <w:tcW w:w="728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rPr>
                <w:sz w:val="16"/>
                <w:szCs w:val="16"/>
              </w:rPr>
            </w:pPr>
            <w:r w:rsidRPr="00C044CE">
              <w:rPr>
                <w:sz w:val="16"/>
                <w:szCs w:val="16"/>
              </w:rPr>
              <w:t>Change/Update</w:t>
            </w:r>
          </w:p>
        </w:tc>
      </w:tr>
      <w:tr w:rsidR="00C044CE" w:rsidRPr="00C044CE">
        <w:trPr>
          <w:trHeight w:val="420"/>
        </w:trPr>
        <w:tc>
          <w:tcPr>
            <w:tcW w:w="92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jc w:val="right"/>
              <w:rPr>
                <w:sz w:val="16"/>
                <w:szCs w:val="16"/>
              </w:rPr>
            </w:pPr>
            <w:r w:rsidRPr="00C044CE">
              <w:rPr>
                <w:sz w:val="16"/>
                <w:szCs w:val="16"/>
              </w:rPr>
              <w:t>1</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rPr>
                <w:sz w:val="16"/>
                <w:szCs w:val="16"/>
              </w:rPr>
            </w:pPr>
            <w:r w:rsidRPr="00C044CE">
              <w:rPr>
                <w:sz w:val="16"/>
                <w:szCs w:val="16"/>
              </w:rPr>
              <w:t>All</w:t>
            </w:r>
          </w:p>
        </w:tc>
        <w:tc>
          <w:tcPr>
            <w:tcW w:w="728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rPr>
                <w:sz w:val="16"/>
                <w:szCs w:val="16"/>
              </w:rPr>
            </w:pPr>
            <w:r w:rsidRPr="00C044CE">
              <w:rPr>
                <w:sz w:val="16"/>
                <w:szCs w:val="16"/>
              </w:rPr>
              <w:t>Italicize Kepler, replace KDAH by KDPH, remove BATC documents not delivered, Equation numbering</w:t>
            </w:r>
          </w:p>
        </w:tc>
      </w:tr>
      <w:tr w:rsidR="00C044CE" w:rsidRPr="00C044CE">
        <w:trPr>
          <w:trHeight w:val="300"/>
        </w:trPr>
        <w:tc>
          <w:tcPr>
            <w:tcW w:w="92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jc w:val="right"/>
              <w:rPr>
                <w:sz w:val="16"/>
                <w:szCs w:val="16"/>
              </w:rPr>
            </w:pPr>
            <w:r w:rsidRPr="00C044CE">
              <w:rPr>
                <w:sz w:val="16"/>
                <w:szCs w:val="16"/>
              </w:rPr>
              <w:t>2</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rPr>
                <w:sz w:val="16"/>
                <w:szCs w:val="16"/>
              </w:rPr>
            </w:pPr>
            <w:r w:rsidRPr="00C044CE">
              <w:rPr>
                <w:sz w:val="16"/>
                <w:szCs w:val="16"/>
              </w:rPr>
              <w:t>Top matter</w:t>
            </w:r>
          </w:p>
        </w:tc>
        <w:tc>
          <w:tcPr>
            <w:tcW w:w="728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rPr>
                <w:sz w:val="16"/>
                <w:szCs w:val="16"/>
              </w:rPr>
            </w:pPr>
            <w:r w:rsidRPr="00C044CE">
              <w:rPr>
                <w:sz w:val="16"/>
                <w:szCs w:val="16"/>
              </w:rPr>
              <w:t>Remove names, to-do list</w:t>
            </w:r>
          </w:p>
        </w:tc>
      </w:tr>
      <w:tr w:rsidR="00C044CE" w:rsidRPr="00C044CE">
        <w:trPr>
          <w:trHeight w:val="420"/>
        </w:trPr>
        <w:tc>
          <w:tcPr>
            <w:tcW w:w="92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jc w:val="right"/>
              <w:rPr>
                <w:sz w:val="16"/>
                <w:szCs w:val="16"/>
              </w:rPr>
            </w:pPr>
            <w:r w:rsidRPr="00C044CE">
              <w:rPr>
                <w:sz w:val="16"/>
                <w:szCs w:val="16"/>
              </w:rPr>
              <w:t>3</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rPr>
                <w:sz w:val="16"/>
                <w:szCs w:val="16"/>
              </w:rPr>
            </w:pPr>
            <w:r w:rsidRPr="00C044CE">
              <w:rPr>
                <w:sz w:val="16"/>
                <w:szCs w:val="16"/>
              </w:rPr>
              <w:t>1</w:t>
            </w:r>
          </w:p>
        </w:tc>
        <w:tc>
          <w:tcPr>
            <w:tcW w:w="728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rPr>
                <w:sz w:val="16"/>
                <w:szCs w:val="16"/>
              </w:rPr>
            </w:pPr>
            <w:r w:rsidRPr="00C044CE">
              <w:rPr>
                <w:sz w:val="16"/>
                <w:szCs w:val="16"/>
              </w:rPr>
              <w:t>Rename as "Introduction to Instrument Handbook"</w:t>
            </w:r>
          </w:p>
        </w:tc>
      </w:tr>
      <w:tr w:rsidR="00C044CE" w:rsidRPr="00C044CE">
        <w:trPr>
          <w:trHeight w:val="300"/>
        </w:trPr>
        <w:tc>
          <w:tcPr>
            <w:tcW w:w="92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jc w:val="right"/>
              <w:rPr>
                <w:sz w:val="16"/>
                <w:szCs w:val="16"/>
              </w:rPr>
            </w:pPr>
            <w:r w:rsidRPr="00C044CE">
              <w:rPr>
                <w:sz w:val="16"/>
                <w:szCs w:val="16"/>
              </w:rPr>
              <w:t>4</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rPr>
                <w:sz w:val="16"/>
                <w:szCs w:val="16"/>
              </w:rPr>
            </w:pPr>
            <w:r w:rsidRPr="00C044CE">
              <w:rPr>
                <w:sz w:val="16"/>
                <w:szCs w:val="16"/>
              </w:rPr>
              <w:t>1.1</w:t>
            </w:r>
          </w:p>
        </w:tc>
        <w:tc>
          <w:tcPr>
            <w:tcW w:w="728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rPr>
                <w:sz w:val="16"/>
                <w:szCs w:val="16"/>
              </w:rPr>
            </w:pPr>
            <w:r w:rsidRPr="00C044CE">
              <w:rPr>
                <w:sz w:val="16"/>
                <w:szCs w:val="16"/>
              </w:rPr>
              <w:t>Reference companion documents</w:t>
            </w:r>
          </w:p>
        </w:tc>
      </w:tr>
      <w:tr w:rsidR="00C044CE" w:rsidRPr="00C044CE">
        <w:trPr>
          <w:trHeight w:val="420"/>
        </w:trPr>
        <w:tc>
          <w:tcPr>
            <w:tcW w:w="92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jc w:val="right"/>
              <w:rPr>
                <w:sz w:val="16"/>
                <w:szCs w:val="16"/>
              </w:rPr>
            </w:pPr>
            <w:r w:rsidRPr="00C044CE">
              <w:rPr>
                <w:sz w:val="16"/>
                <w:szCs w:val="16"/>
              </w:rPr>
              <w:t>5</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rPr>
                <w:sz w:val="16"/>
                <w:szCs w:val="16"/>
              </w:rPr>
            </w:pPr>
            <w:r w:rsidRPr="00C044CE">
              <w:rPr>
                <w:sz w:val="16"/>
                <w:szCs w:val="16"/>
              </w:rPr>
              <w:t>1.2</w:t>
            </w:r>
          </w:p>
        </w:tc>
        <w:tc>
          <w:tcPr>
            <w:tcW w:w="728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rPr>
                <w:sz w:val="16"/>
                <w:szCs w:val="16"/>
              </w:rPr>
            </w:pPr>
            <w:r w:rsidRPr="00C044CE">
              <w:rPr>
                <w:sz w:val="16"/>
                <w:szCs w:val="16"/>
              </w:rPr>
              <w:t>Supplement gone.  Unless otherwise cited, engineering figures in the KIH are based on drawings developed by the Kepler prime contractor, Ball Aerospace &amp; Technologies Corp (BATC).</w:t>
            </w:r>
          </w:p>
        </w:tc>
      </w:tr>
      <w:tr w:rsidR="00C044CE" w:rsidRPr="00C044CE">
        <w:trPr>
          <w:trHeight w:val="300"/>
        </w:trPr>
        <w:tc>
          <w:tcPr>
            <w:tcW w:w="92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jc w:val="right"/>
              <w:rPr>
                <w:sz w:val="16"/>
                <w:szCs w:val="16"/>
              </w:rPr>
            </w:pPr>
            <w:r w:rsidRPr="00C044CE">
              <w:rPr>
                <w:sz w:val="16"/>
                <w:szCs w:val="16"/>
              </w:rPr>
              <w:t>6</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rPr>
                <w:sz w:val="16"/>
                <w:szCs w:val="16"/>
              </w:rPr>
            </w:pPr>
            <w:r w:rsidRPr="00C044CE">
              <w:rPr>
                <w:sz w:val="16"/>
                <w:szCs w:val="16"/>
              </w:rPr>
              <w:t>1.3</w:t>
            </w:r>
          </w:p>
        </w:tc>
        <w:tc>
          <w:tcPr>
            <w:tcW w:w="728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rPr>
                <w:sz w:val="16"/>
                <w:szCs w:val="16"/>
              </w:rPr>
            </w:pPr>
            <w:r w:rsidRPr="00C044CE">
              <w:rPr>
                <w:sz w:val="16"/>
                <w:szCs w:val="16"/>
              </w:rPr>
              <w:t>Explain why this is the last rev</w:t>
            </w:r>
          </w:p>
        </w:tc>
      </w:tr>
      <w:tr w:rsidR="00C044CE" w:rsidRPr="00C044CE">
        <w:trPr>
          <w:trHeight w:val="300"/>
        </w:trPr>
        <w:tc>
          <w:tcPr>
            <w:tcW w:w="92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jc w:val="right"/>
              <w:rPr>
                <w:sz w:val="16"/>
                <w:szCs w:val="16"/>
              </w:rPr>
            </w:pPr>
            <w:r w:rsidRPr="00C044CE">
              <w:rPr>
                <w:sz w:val="16"/>
                <w:szCs w:val="16"/>
              </w:rPr>
              <w:t>7</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rPr>
                <w:sz w:val="16"/>
                <w:szCs w:val="16"/>
              </w:rPr>
            </w:pPr>
            <w:r w:rsidRPr="00C044CE">
              <w:rPr>
                <w:sz w:val="16"/>
                <w:szCs w:val="16"/>
              </w:rPr>
              <w:t>2.1</w:t>
            </w:r>
          </w:p>
        </w:tc>
        <w:tc>
          <w:tcPr>
            <w:tcW w:w="728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7F718A" w:rsidP="00C044CE">
            <w:pPr>
              <w:spacing w:after="0"/>
              <w:rPr>
                <w:sz w:val="16"/>
                <w:szCs w:val="16"/>
              </w:rPr>
            </w:pPr>
            <w:r>
              <w:rPr>
                <w:sz w:val="16"/>
                <w:szCs w:val="16"/>
              </w:rPr>
              <w:t>Cite Gilliland et al. 2015</w:t>
            </w:r>
          </w:p>
        </w:tc>
      </w:tr>
      <w:tr w:rsidR="00C044CE" w:rsidRPr="00C044CE">
        <w:trPr>
          <w:trHeight w:val="420"/>
        </w:trPr>
        <w:tc>
          <w:tcPr>
            <w:tcW w:w="92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jc w:val="right"/>
              <w:rPr>
                <w:sz w:val="16"/>
                <w:szCs w:val="16"/>
              </w:rPr>
            </w:pPr>
            <w:r w:rsidRPr="00C044CE">
              <w:rPr>
                <w:sz w:val="16"/>
                <w:szCs w:val="16"/>
              </w:rPr>
              <w:t>8</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rPr>
                <w:sz w:val="16"/>
                <w:szCs w:val="16"/>
              </w:rPr>
            </w:pPr>
            <w:r w:rsidRPr="00C044CE">
              <w:rPr>
                <w:sz w:val="16"/>
                <w:szCs w:val="16"/>
              </w:rPr>
              <w:t>2.5.1</w:t>
            </w:r>
          </w:p>
        </w:tc>
        <w:tc>
          <w:tcPr>
            <w:tcW w:w="728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rPr>
                <w:sz w:val="16"/>
                <w:szCs w:val="16"/>
              </w:rPr>
            </w:pPr>
            <w:r w:rsidRPr="00C044CE">
              <w:rPr>
                <w:sz w:val="16"/>
                <w:szCs w:val="16"/>
              </w:rPr>
              <w:t>The entire Kepler mission was flown on KCB-2, and focal plane characterization models delivered to MAST were derived from KCB-2 test data.</w:t>
            </w:r>
          </w:p>
        </w:tc>
      </w:tr>
      <w:tr w:rsidR="00C044CE" w:rsidRPr="00C044CE">
        <w:trPr>
          <w:trHeight w:val="300"/>
        </w:trPr>
        <w:tc>
          <w:tcPr>
            <w:tcW w:w="92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jc w:val="right"/>
              <w:rPr>
                <w:sz w:val="16"/>
                <w:szCs w:val="16"/>
              </w:rPr>
            </w:pPr>
            <w:r w:rsidRPr="00C044CE">
              <w:rPr>
                <w:sz w:val="16"/>
                <w:szCs w:val="16"/>
              </w:rPr>
              <w:t>9</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rPr>
                <w:sz w:val="16"/>
                <w:szCs w:val="16"/>
              </w:rPr>
            </w:pPr>
            <w:r w:rsidRPr="00C044CE">
              <w:rPr>
                <w:sz w:val="16"/>
                <w:szCs w:val="16"/>
              </w:rPr>
              <w:t>2.5.5</w:t>
            </w:r>
          </w:p>
        </w:tc>
        <w:tc>
          <w:tcPr>
            <w:tcW w:w="728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7F718A" w:rsidP="007F718A">
            <w:pPr>
              <w:spacing w:after="0"/>
              <w:rPr>
                <w:sz w:val="16"/>
                <w:szCs w:val="16"/>
              </w:rPr>
            </w:pPr>
            <w:r>
              <w:rPr>
                <w:sz w:val="16"/>
                <w:szCs w:val="16"/>
              </w:rPr>
              <w:t xml:space="preserve">New section. </w:t>
            </w:r>
          </w:p>
        </w:tc>
      </w:tr>
      <w:tr w:rsidR="00C044CE" w:rsidRPr="00C044CE">
        <w:trPr>
          <w:trHeight w:val="300"/>
        </w:trPr>
        <w:tc>
          <w:tcPr>
            <w:tcW w:w="92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jc w:val="right"/>
              <w:rPr>
                <w:sz w:val="16"/>
                <w:szCs w:val="16"/>
              </w:rPr>
            </w:pPr>
            <w:r w:rsidRPr="00C044CE">
              <w:rPr>
                <w:sz w:val="16"/>
                <w:szCs w:val="16"/>
              </w:rPr>
              <w:t>10</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rPr>
                <w:sz w:val="16"/>
                <w:szCs w:val="16"/>
              </w:rPr>
            </w:pPr>
            <w:r w:rsidRPr="00C044CE">
              <w:rPr>
                <w:sz w:val="16"/>
                <w:szCs w:val="16"/>
              </w:rPr>
              <w:t>2.6.3.2</w:t>
            </w:r>
          </w:p>
        </w:tc>
        <w:tc>
          <w:tcPr>
            <w:tcW w:w="728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7F718A" w:rsidP="00C044CE">
            <w:pPr>
              <w:spacing w:after="0"/>
              <w:rPr>
                <w:sz w:val="16"/>
                <w:szCs w:val="16"/>
              </w:rPr>
            </w:pPr>
            <w:r>
              <w:rPr>
                <w:sz w:val="16"/>
                <w:szCs w:val="16"/>
              </w:rPr>
              <w:t xml:space="preserve">Sentence about readout </w:t>
            </w:r>
            <w:r w:rsidR="00C044CE" w:rsidRPr="00C044CE">
              <w:rPr>
                <w:sz w:val="16"/>
                <w:szCs w:val="16"/>
              </w:rPr>
              <w:t>of SCC</w:t>
            </w:r>
          </w:p>
        </w:tc>
      </w:tr>
      <w:tr w:rsidR="00C044CE" w:rsidRPr="00C044CE">
        <w:trPr>
          <w:trHeight w:val="300"/>
        </w:trPr>
        <w:tc>
          <w:tcPr>
            <w:tcW w:w="92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jc w:val="right"/>
              <w:rPr>
                <w:sz w:val="16"/>
                <w:szCs w:val="16"/>
              </w:rPr>
            </w:pPr>
            <w:r w:rsidRPr="00C044CE">
              <w:rPr>
                <w:sz w:val="16"/>
                <w:szCs w:val="16"/>
              </w:rPr>
              <w:t>11</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rPr>
                <w:sz w:val="16"/>
                <w:szCs w:val="16"/>
              </w:rPr>
            </w:pPr>
            <w:r w:rsidRPr="00C044CE">
              <w:rPr>
                <w:sz w:val="16"/>
                <w:szCs w:val="16"/>
              </w:rPr>
              <w:t>2.8</w:t>
            </w:r>
          </w:p>
        </w:tc>
        <w:tc>
          <w:tcPr>
            <w:tcW w:w="728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7F718A" w:rsidP="007F718A">
            <w:pPr>
              <w:spacing w:after="0"/>
              <w:rPr>
                <w:sz w:val="16"/>
                <w:szCs w:val="16"/>
              </w:rPr>
            </w:pPr>
            <w:r>
              <w:rPr>
                <w:sz w:val="16"/>
                <w:szCs w:val="16"/>
              </w:rPr>
              <w:t xml:space="preserve">Clarify that </w:t>
            </w:r>
            <w:r w:rsidR="00C044CE" w:rsidRPr="00C044CE">
              <w:rPr>
                <w:sz w:val="16"/>
                <w:szCs w:val="16"/>
              </w:rPr>
              <w:t>Figure 8 and 9</w:t>
            </w:r>
            <w:r>
              <w:rPr>
                <w:sz w:val="16"/>
                <w:szCs w:val="16"/>
              </w:rPr>
              <w:t xml:space="preserve"> are</w:t>
            </w:r>
            <w:r w:rsidR="00C044CE" w:rsidRPr="00C044CE">
              <w:rPr>
                <w:sz w:val="16"/>
                <w:szCs w:val="16"/>
              </w:rPr>
              <w:t xml:space="preserve"> from ETEM</w:t>
            </w:r>
            <w:r>
              <w:rPr>
                <w:sz w:val="16"/>
                <w:szCs w:val="16"/>
              </w:rPr>
              <w:t>,</w:t>
            </w:r>
            <w:r w:rsidR="00C044CE" w:rsidRPr="00C044CE">
              <w:rPr>
                <w:sz w:val="16"/>
                <w:szCs w:val="16"/>
              </w:rPr>
              <w:t xml:space="preserve"> not actual data</w:t>
            </w:r>
          </w:p>
        </w:tc>
      </w:tr>
      <w:tr w:rsidR="00C044CE" w:rsidRPr="00C044CE">
        <w:trPr>
          <w:trHeight w:val="300"/>
        </w:trPr>
        <w:tc>
          <w:tcPr>
            <w:tcW w:w="92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jc w:val="right"/>
              <w:rPr>
                <w:sz w:val="16"/>
                <w:szCs w:val="16"/>
              </w:rPr>
            </w:pPr>
            <w:r w:rsidRPr="00C044CE">
              <w:rPr>
                <w:sz w:val="16"/>
                <w:szCs w:val="16"/>
              </w:rPr>
              <w:t>12</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rPr>
                <w:sz w:val="16"/>
                <w:szCs w:val="16"/>
              </w:rPr>
            </w:pPr>
            <w:r w:rsidRPr="00C044CE">
              <w:rPr>
                <w:sz w:val="16"/>
                <w:szCs w:val="16"/>
              </w:rPr>
              <w:t>3.3</w:t>
            </w:r>
          </w:p>
        </w:tc>
        <w:tc>
          <w:tcPr>
            <w:tcW w:w="728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7F718A" w:rsidP="00C044CE">
            <w:pPr>
              <w:spacing w:after="0"/>
              <w:rPr>
                <w:sz w:val="16"/>
                <w:szCs w:val="16"/>
              </w:rPr>
            </w:pPr>
            <w:r>
              <w:rPr>
                <w:sz w:val="16"/>
                <w:szCs w:val="16"/>
              </w:rPr>
              <w:t>Clarify</w:t>
            </w:r>
            <w:r w:rsidR="00C044CE" w:rsidRPr="00C044CE">
              <w:rPr>
                <w:sz w:val="16"/>
                <w:szCs w:val="16"/>
              </w:rPr>
              <w:t xml:space="preserve"> that data shown is for mod.out 11.2;  reference spectral response FC model</w:t>
            </w:r>
          </w:p>
        </w:tc>
      </w:tr>
      <w:tr w:rsidR="00C044CE" w:rsidRPr="00C044CE">
        <w:trPr>
          <w:trHeight w:val="300"/>
        </w:trPr>
        <w:tc>
          <w:tcPr>
            <w:tcW w:w="92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jc w:val="right"/>
              <w:rPr>
                <w:sz w:val="16"/>
                <w:szCs w:val="16"/>
              </w:rPr>
            </w:pPr>
            <w:r w:rsidRPr="00C044CE">
              <w:rPr>
                <w:sz w:val="16"/>
                <w:szCs w:val="16"/>
              </w:rPr>
              <w:t>13</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rPr>
                <w:sz w:val="16"/>
                <w:szCs w:val="16"/>
              </w:rPr>
            </w:pPr>
            <w:r w:rsidRPr="00C044CE">
              <w:rPr>
                <w:sz w:val="16"/>
                <w:szCs w:val="16"/>
              </w:rPr>
              <w:t>3.5</w:t>
            </w:r>
          </w:p>
        </w:tc>
        <w:tc>
          <w:tcPr>
            <w:tcW w:w="728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D85521" w:rsidP="00C044CE">
            <w:pPr>
              <w:spacing w:after="0"/>
              <w:rPr>
                <w:sz w:val="16"/>
                <w:szCs w:val="16"/>
              </w:rPr>
            </w:pPr>
            <w:r>
              <w:rPr>
                <w:sz w:val="16"/>
                <w:szCs w:val="16"/>
              </w:rPr>
              <w:t>D</w:t>
            </w:r>
            <w:r w:rsidR="00C044CE" w:rsidRPr="00C044CE">
              <w:rPr>
                <w:sz w:val="16"/>
                <w:szCs w:val="16"/>
              </w:rPr>
              <w:t>elivered to SOC and MAST;  add "users should download the PRF model from MAST"</w:t>
            </w:r>
          </w:p>
        </w:tc>
      </w:tr>
      <w:tr w:rsidR="00C044CE" w:rsidRPr="00C044CE">
        <w:trPr>
          <w:trHeight w:val="404"/>
        </w:trPr>
        <w:tc>
          <w:tcPr>
            <w:tcW w:w="92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jc w:val="right"/>
              <w:rPr>
                <w:sz w:val="16"/>
                <w:szCs w:val="16"/>
              </w:rPr>
            </w:pPr>
            <w:r w:rsidRPr="00C044CE">
              <w:rPr>
                <w:sz w:val="16"/>
                <w:szCs w:val="16"/>
              </w:rPr>
              <w:t>14</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rPr>
                <w:sz w:val="16"/>
                <w:szCs w:val="16"/>
              </w:rPr>
            </w:pPr>
            <w:r w:rsidRPr="00C044CE">
              <w:rPr>
                <w:sz w:val="16"/>
                <w:szCs w:val="16"/>
              </w:rPr>
              <w:t>3.7</w:t>
            </w:r>
          </w:p>
        </w:tc>
        <w:tc>
          <w:tcPr>
            <w:tcW w:w="728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D85521">
            <w:pPr>
              <w:spacing w:after="0"/>
              <w:rPr>
                <w:sz w:val="16"/>
                <w:szCs w:val="16"/>
              </w:rPr>
            </w:pPr>
            <w:r w:rsidRPr="00C044CE">
              <w:rPr>
                <w:sz w:val="16"/>
                <w:szCs w:val="16"/>
              </w:rPr>
              <w:t>The actual long-term performance of the ADCS agrees with pre-launch estimates</w:t>
            </w:r>
            <w:r w:rsidR="00D85521">
              <w:rPr>
                <w:sz w:val="16"/>
                <w:szCs w:val="16"/>
              </w:rPr>
              <w:t>.</w:t>
            </w:r>
            <w:r w:rsidRPr="00C044CE">
              <w:rPr>
                <w:sz w:val="16"/>
                <w:szCs w:val="16"/>
              </w:rPr>
              <w:t xml:space="preserve"> Calculate actual values from telemetry.  </w:t>
            </w:r>
          </w:p>
        </w:tc>
      </w:tr>
      <w:tr w:rsidR="00C044CE" w:rsidRPr="00C044CE">
        <w:trPr>
          <w:trHeight w:val="620"/>
        </w:trPr>
        <w:tc>
          <w:tcPr>
            <w:tcW w:w="92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jc w:val="right"/>
              <w:rPr>
                <w:sz w:val="16"/>
                <w:szCs w:val="16"/>
              </w:rPr>
            </w:pPr>
            <w:r w:rsidRPr="00C044CE">
              <w:rPr>
                <w:sz w:val="16"/>
                <w:szCs w:val="16"/>
              </w:rPr>
              <w:t>15</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rPr>
                <w:sz w:val="16"/>
                <w:szCs w:val="16"/>
              </w:rPr>
            </w:pPr>
            <w:r w:rsidRPr="00C044CE">
              <w:rPr>
                <w:sz w:val="16"/>
                <w:szCs w:val="16"/>
              </w:rPr>
              <w:t>3.8</w:t>
            </w:r>
          </w:p>
        </w:tc>
        <w:tc>
          <w:tcPr>
            <w:tcW w:w="728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D85521" w:rsidP="00C044CE">
            <w:pPr>
              <w:spacing w:after="0"/>
              <w:rPr>
                <w:sz w:val="16"/>
                <w:szCs w:val="16"/>
              </w:rPr>
            </w:pPr>
            <w:r>
              <w:rPr>
                <w:sz w:val="16"/>
                <w:szCs w:val="16"/>
              </w:rPr>
              <w:t>D</w:t>
            </w:r>
            <w:r w:rsidR="00C044CE" w:rsidRPr="00C044CE">
              <w:rPr>
                <w:sz w:val="16"/>
                <w:szCs w:val="16"/>
              </w:rPr>
              <w:t>istortion is included in the focal plane geometry model (KAM §2.3.5.16) which, along with the pointing and roll-time models (KAM §2.3.5.14 and §2.3.5.15), converts sky to pixel coordinates (Section 7.6).</w:t>
            </w:r>
          </w:p>
        </w:tc>
      </w:tr>
      <w:tr w:rsidR="00C044CE" w:rsidRPr="00C044CE">
        <w:trPr>
          <w:trHeight w:val="620"/>
        </w:trPr>
        <w:tc>
          <w:tcPr>
            <w:tcW w:w="92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jc w:val="right"/>
              <w:rPr>
                <w:sz w:val="16"/>
                <w:szCs w:val="16"/>
              </w:rPr>
            </w:pPr>
            <w:r w:rsidRPr="00C044CE">
              <w:rPr>
                <w:sz w:val="16"/>
                <w:szCs w:val="16"/>
              </w:rPr>
              <w:t>16</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rPr>
                <w:sz w:val="16"/>
                <w:szCs w:val="16"/>
              </w:rPr>
            </w:pPr>
            <w:r w:rsidRPr="00C044CE">
              <w:rPr>
                <w:sz w:val="16"/>
                <w:szCs w:val="16"/>
              </w:rPr>
              <w:t>3.10</w:t>
            </w:r>
          </w:p>
        </w:tc>
        <w:tc>
          <w:tcPr>
            <w:tcW w:w="728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rPr>
                <w:sz w:val="16"/>
                <w:szCs w:val="16"/>
              </w:rPr>
            </w:pPr>
            <w:r w:rsidRPr="00C044CE">
              <w:rPr>
                <w:sz w:val="16"/>
                <w:szCs w:val="16"/>
              </w:rPr>
              <w:t>Replace "Quantitative discussion of ghosts and stray light will added to the next version of this document"  with "Stray light was measured during Photometer testing and the first year of flight (Caldwell et al., 2010). "</w:t>
            </w:r>
          </w:p>
        </w:tc>
      </w:tr>
      <w:tr w:rsidR="00C044CE" w:rsidRPr="00C044CE">
        <w:trPr>
          <w:trHeight w:val="300"/>
        </w:trPr>
        <w:tc>
          <w:tcPr>
            <w:tcW w:w="92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jc w:val="right"/>
              <w:rPr>
                <w:sz w:val="16"/>
                <w:szCs w:val="16"/>
              </w:rPr>
            </w:pPr>
            <w:r w:rsidRPr="00C044CE">
              <w:rPr>
                <w:sz w:val="16"/>
                <w:szCs w:val="16"/>
              </w:rPr>
              <w:t>17</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rPr>
                <w:sz w:val="16"/>
                <w:szCs w:val="16"/>
              </w:rPr>
            </w:pPr>
            <w:r w:rsidRPr="00C044CE">
              <w:rPr>
                <w:sz w:val="16"/>
                <w:szCs w:val="16"/>
              </w:rPr>
              <w:t>4.3</w:t>
            </w:r>
          </w:p>
        </w:tc>
        <w:tc>
          <w:tcPr>
            <w:tcW w:w="728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rPr>
                <w:sz w:val="16"/>
                <w:szCs w:val="16"/>
              </w:rPr>
            </w:pPr>
            <w:r w:rsidRPr="00C044CE">
              <w:rPr>
                <w:sz w:val="16"/>
                <w:szCs w:val="16"/>
              </w:rPr>
              <w:t>Add some FGS info to table 7</w:t>
            </w:r>
          </w:p>
        </w:tc>
      </w:tr>
      <w:tr w:rsidR="00C044CE" w:rsidRPr="00C044CE">
        <w:trPr>
          <w:trHeight w:val="300"/>
        </w:trPr>
        <w:tc>
          <w:tcPr>
            <w:tcW w:w="92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jc w:val="right"/>
              <w:rPr>
                <w:sz w:val="16"/>
                <w:szCs w:val="16"/>
              </w:rPr>
            </w:pPr>
            <w:r w:rsidRPr="00C044CE">
              <w:rPr>
                <w:sz w:val="16"/>
                <w:szCs w:val="16"/>
              </w:rPr>
              <w:t>18</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rPr>
                <w:sz w:val="16"/>
                <w:szCs w:val="16"/>
              </w:rPr>
            </w:pPr>
            <w:r w:rsidRPr="00C044CE">
              <w:rPr>
                <w:sz w:val="16"/>
                <w:szCs w:val="16"/>
              </w:rPr>
              <w:t>4.5</w:t>
            </w:r>
          </w:p>
        </w:tc>
        <w:tc>
          <w:tcPr>
            <w:tcW w:w="7280" w:type="dxa"/>
            <w:tcBorders>
              <w:top w:val="nil"/>
              <w:left w:val="nil"/>
              <w:bottom w:val="nil"/>
              <w:right w:val="nil"/>
            </w:tcBorders>
            <w:shd w:val="clear" w:color="auto" w:fill="auto"/>
            <w:vAlign w:val="bottom"/>
          </w:tcPr>
          <w:p w:rsidR="00C044CE" w:rsidRPr="00C044CE" w:rsidRDefault="00C044CE" w:rsidP="00C044CE">
            <w:pPr>
              <w:spacing w:after="0"/>
              <w:rPr>
                <w:sz w:val="16"/>
                <w:szCs w:val="16"/>
              </w:rPr>
            </w:pPr>
            <w:r w:rsidRPr="00C044CE">
              <w:rPr>
                <w:sz w:val="16"/>
                <w:szCs w:val="16"/>
              </w:rPr>
              <w:t>Charge injection "2%" to "40% full-well"</w:t>
            </w:r>
          </w:p>
        </w:tc>
      </w:tr>
      <w:tr w:rsidR="00C044CE" w:rsidRPr="00C044CE">
        <w:trPr>
          <w:trHeight w:val="1020"/>
        </w:trPr>
        <w:tc>
          <w:tcPr>
            <w:tcW w:w="92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jc w:val="right"/>
              <w:rPr>
                <w:sz w:val="16"/>
                <w:szCs w:val="16"/>
              </w:rPr>
            </w:pPr>
            <w:r w:rsidRPr="00C044CE">
              <w:rPr>
                <w:sz w:val="16"/>
                <w:szCs w:val="16"/>
              </w:rPr>
              <w:t>19</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rPr>
                <w:sz w:val="16"/>
                <w:szCs w:val="16"/>
              </w:rPr>
            </w:pPr>
            <w:r w:rsidRPr="00C044CE">
              <w:rPr>
                <w:sz w:val="16"/>
                <w:szCs w:val="16"/>
              </w:rPr>
              <w:t>4.7</w:t>
            </w:r>
          </w:p>
        </w:tc>
        <w:tc>
          <w:tcPr>
            <w:tcW w:w="728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rPr>
                <w:sz w:val="16"/>
                <w:szCs w:val="16"/>
              </w:rPr>
            </w:pPr>
            <w:r w:rsidRPr="00C044CE">
              <w:rPr>
                <w:sz w:val="16"/>
                <w:szCs w:val="16"/>
              </w:rPr>
              <w:t xml:space="preserve">Change "Read noise varies among channels between 80 e- and 200 e-, with a median of 90 e- " to "Read noise varies among channels between 74 e- and 150 e-, with a median of 86 e-. "Change "five channels (3.3, 8.2, 13.4 18.2 and 24.3) that violate the FPAA 150 e- noise budget" to "six channels that violate the 120e- read noise budget, as highlighted in yellow in Table 13".  Statements now consistent with FC models.  </w:t>
            </w:r>
          </w:p>
        </w:tc>
      </w:tr>
      <w:tr w:rsidR="00C044CE" w:rsidRPr="00C044CE">
        <w:trPr>
          <w:trHeight w:val="300"/>
        </w:trPr>
        <w:tc>
          <w:tcPr>
            <w:tcW w:w="92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jc w:val="right"/>
              <w:rPr>
                <w:sz w:val="16"/>
                <w:szCs w:val="16"/>
              </w:rPr>
            </w:pPr>
            <w:r w:rsidRPr="00C044CE">
              <w:rPr>
                <w:sz w:val="16"/>
                <w:szCs w:val="16"/>
              </w:rPr>
              <w:t>20</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rPr>
                <w:sz w:val="16"/>
                <w:szCs w:val="16"/>
              </w:rPr>
            </w:pPr>
            <w:r w:rsidRPr="00C044CE">
              <w:rPr>
                <w:sz w:val="16"/>
                <w:szCs w:val="16"/>
              </w:rPr>
              <w:t>4.9</w:t>
            </w:r>
          </w:p>
        </w:tc>
        <w:tc>
          <w:tcPr>
            <w:tcW w:w="728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D85521" w:rsidP="00C044CE">
            <w:pPr>
              <w:spacing w:after="0"/>
              <w:rPr>
                <w:sz w:val="16"/>
                <w:szCs w:val="16"/>
              </w:rPr>
            </w:pPr>
            <w:r>
              <w:rPr>
                <w:sz w:val="16"/>
                <w:szCs w:val="16"/>
              </w:rPr>
              <w:t xml:space="preserve">Add </w:t>
            </w:r>
            <w:r w:rsidR="00C044CE" w:rsidRPr="00C044CE">
              <w:rPr>
                <w:sz w:val="16"/>
                <w:szCs w:val="16"/>
              </w:rPr>
              <w:t>"to MAST"</w:t>
            </w:r>
          </w:p>
        </w:tc>
      </w:tr>
      <w:tr w:rsidR="00C044CE" w:rsidRPr="00C044CE">
        <w:trPr>
          <w:trHeight w:val="300"/>
        </w:trPr>
        <w:tc>
          <w:tcPr>
            <w:tcW w:w="92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jc w:val="right"/>
              <w:rPr>
                <w:sz w:val="16"/>
                <w:szCs w:val="16"/>
              </w:rPr>
            </w:pPr>
            <w:r w:rsidRPr="00C044CE">
              <w:rPr>
                <w:sz w:val="16"/>
                <w:szCs w:val="16"/>
              </w:rPr>
              <w:t>21</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rPr>
                <w:sz w:val="16"/>
                <w:szCs w:val="16"/>
              </w:rPr>
            </w:pPr>
            <w:r w:rsidRPr="00C044CE">
              <w:rPr>
                <w:sz w:val="16"/>
                <w:szCs w:val="16"/>
              </w:rPr>
              <w:t>4.10</w:t>
            </w:r>
          </w:p>
        </w:tc>
        <w:tc>
          <w:tcPr>
            <w:tcW w:w="728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rPr>
                <w:sz w:val="16"/>
                <w:szCs w:val="16"/>
              </w:rPr>
            </w:pPr>
            <w:r w:rsidRPr="00C044CE">
              <w:rPr>
                <w:sz w:val="16"/>
                <w:szCs w:val="16"/>
              </w:rPr>
              <w:t>Replace Hubble ACS reference with Gilliland 2011 statement about charge conservation</w:t>
            </w:r>
          </w:p>
        </w:tc>
      </w:tr>
      <w:tr w:rsidR="00C044CE" w:rsidRPr="00C044CE">
        <w:trPr>
          <w:trHeight w:val="300"/>
        </w:trPr>
        <w:tc>
          <w:tcPr>
            <w:tcW w:w="92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jc w:val="right"/>
              <w:rPr>
                <w:sz w:val="16"/>
                <w:szCs w:val="16"/>
              </w:rPr>
            </w:pPr>
            <w:r w:rsidRPr="00C044CE">
              <w:rPr>
                <w:sz w:val="16"/>
                <w:szCs w:val="16"/>
              </w:rPr>
              <w:t>22</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rPr>
                <w:sz w:val="16"/>
                <w:szCs w:val="16"/>
              </w:rPr>
            </w:pPr>
            <w:r w:rsidRPr="00C044CE">
              <w:rPr>
                <w:sz w:val="16"/>
                <w:szCs w:val="16"/>
              </w:rPr>
              <w:t>4.11</w:t>
            </w:r>
          </w:p>
        </w:tc>
        <w:tc>
          <w:tcPr>
            <w:tcW w:w="728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rPr>
                <w:sz w:val="16"/>
                <w:szCs w:val="16"/>
              </w:rPr>
            </w:pPr>
            <w:r w:rsidRPr="00C044CE">
              <w:rPr>
                <w:sz w:val="16"/>
                <w:szCs w:val="16"/>
              </w:rPr>
              <w:t>Remove "A more complete, channel-by-channel analysis of DNL …"</w:t>
            </w:r>
          </w:p>
        </w:tc>
      </w:tr>
      <w:tr w:rsidR="00C044CE" w:rsidRPr="00C044CE">
        <w:trPr>
          <w:trHeight w:val="420"/>
        </w:trPr>
        <w:tc>
          <w:tcPr>
            <w:tcW w:w="92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jc w:val="right"/>
              <w:rPr>
                <w:sz w:val="16"/>
                <w:szCs w:val="16"/>
              </w:rPr>
            </w:pPr>
            <w:r w:rsidRPr="00C044CE">
              <w:rPr>
                <w:sz w:val="16"/>
                <w:szCs w:val="16"/>
              </w:rPr>
              <w:t>23</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rPr>
                <w:sz w:val="16"/>
                <w:szCs w:val="16"/>
              </w:rPr>
            </w:pPr>
            <w:r w:rsidRPr="00C044CE">
              <w:rPr>
                <w:sz w:val="16"/>
                <w:szCs w:val="16"/>
              </w:rPr>
              <w:t>4.14</w:t>
            </w:r>
          </w:p>
        </w:tc>
        <w:tc>
          <w:tcPr>
            <w:tcW w:w="728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rPr>
                <w:sz w:val="16"/>
                <w:szCs w:val="16"/>
              </w:rPr>
            </w:pPr>
            <w:r w:rsidRPr="00C044CE">
              <w:rPr>
                <w:sz w:val="16"/>
                <w:szCs w:val="16"/>
              </w:rPr>
              <w:t>Remove "Eventually, it will be updated based on flight data by comparing predicted with observed star magnitudes across the entire focal plane, and applying a low-pass filter to the result."</w:t>
            </w:r>
          </w:p>
        </w:tc>
      </w:tr>
      <w:tr w:rsidR="00C044CE" w:rsidRPr="00C044CE">
        <w:trPr>
          <w:trHeight w:val="820"/>
        </w:trPr>
        <w:tc>
          <w:tcPr>
            <w:tcW w:w="92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jc w:val="right"/>
              <w:rPr>
                <w:sz w:val="16"/>
                <w:szCs w:val="16"/>
              </w:rPr>
            </w:pPr>
            <w:r w:rsidRPr="00C044CE">
              <w:rPr>
                <w:sz w:val="16"/>
                <w:szCs w:val="16"/>
              </w:rPr>
              <w:t>24</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rPr>
                <w:sz w:val="16"/>
                <w:szCs w:val="16"/>
              </w:rPr>
            </w:pPr>
            <w:r w:rsidRPr="00C044CE">
              <w:rPr>
                <w:sz w:val="16"/>
                <w:szCs w:val="16"/>
              </w:rPr>
              <w:t>4.16</w:t>
            </w:r>
          </w:p>
        </w:tc>
        <w:tc>
          <w:tcPr>
            <w:tcW w:w="728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rPr>
                <w:sz w:val="16"/>
                <w:szCs w:val="16"/>
              </w:rPr>
            </w:pPr>
            <w:r w:rsidRPr="00C044CE">
              <w:rPr>
                <w:sz w:val="16"/>
                <w:szCs w:val="16"/>
              </w:rPr>
              <w:t xml:space="preserve">Introduce SPSDs; </w:t>
            </w:r>
            <w:r w:rsidR="00D85521">
              <w:rPr>
                <w:sz w:val="16"/>
                <w:szCs w:val="16"/>
              </w:rPr>
              <w:t xml:space="preserve">Add </w:t>
            </w:r>
            <w:r w:rsidRPr="00C044CE">
              <w:rPr>
                <w:sz w:val="16"/>
                <w:szCs w:val="16"/>
              </w:rPr>
              <w:t>"While Kepler was built with annealing heaters, the possible benefits of annealing were not considered compelling compared to the loss of science observing time for the annealing activity and subsequent thermal stabilization of the CCDs and LDE."  Replace KADN-26053 with Twicken et al. 2010 for CR cleaning</w:t>
            </w:r>
          </w:p>
        </w:tc>
      </w:tr>
      <w:tr w:rsidR="00C044CE" w:rsidRPr="00C044CE">
        <w:trPr>
          <w:trHeight w:val="300"/>
        </w:trPr>
        <w:tc>
          <w:tcPr>
            <w:tcW w:w="92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jc w:val="right"/>
              <w:rPr>
                <w:sz w:val="16"/>
                <w:szCs w:val="16"/>
              </w:rPr>
            </w:pPr>
            <w:r w:rsidRPr="00C044CE">
              <w:rPr>
                <w:sz w:val="16"/>
                <w:szCs w:val="16"/>
              </w:rPr>
              <w:t>25</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rPr>
                <w:sz w:val="16"/>
                <w:szCs w:val="16"/>
              </w:rPr>
            </w:pPr>
            <w:r w:rsidRPr="00C044CE">
              <w:rPr>
                <w:sz w:val="16"/>
                <w:szCs w:val="16"/>
              </w:rPr>
              <w:t>5</w:t>
            </w:r>
          </w:p>
        </w:tc>
        <w:tc>
          <w:tcPr>
            <w:tcW w:w="728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rPr>
                <w:sz w:val="16"/>
                <w:szCs w:val="16"/>
              </w:rPr>
            </w:pPr>
            <w:r w:rsidRPr="00C044CE">
              <w:rPr>
                <w:sz w:val="16"/>
                <w:szCs w:val="16"/>
              </w:rPr>
              <w:t>Only Side 2 was used in flight.</w:t>
            </w:r>
          </w:p>
        </w:tc>
      </w:tr>
      <w:tr w:rsidR="00C044CE" w:rsidRPr="00C044CE">
        <w:trPr>
          <w:trHeight w:val="420"/>
        </w:trPr>
        <w:tc>
          <w:tcPr>
            <w:tcW w:w="92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jc w:val="right"/>
              <w:rPr>
                <w:sz w:val="16"/>
                <w:szCs w:val="16"/>
              </w:rPr>
            </w:pPr>
            <w:r w:rsidRPr="00C044CE">
              <w:rPr>
                <w:sz w:val="16"/>
                <w:szCs w:val="16"/>
              </w:rPr>
              <w:t>26</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rPr>
                <w:sz w:val="16"/>
                <w:szCs w:val="16"/>
              </w:rPr>
            </w:pPr>
            <w:r w:rsidRPr="00C044CE">
              <w:rPr>
                <w:sz w:val="16"/>
                <w:szCs w:val="16"/>
              </w:rPr>
              <w:t>6.1</w:t>
            </w:r>
          </w:p>
        </w:tc>
        <w:tc>
          <w:tcPr>
            <w:tcW w:w="7280" w:type="dxa"/>
            <w:tcBorders>
              <w:top w:val="single" w:sz="4" w:space="0" w:color="auto"/>
              <w:left w:val="nil"/>
              <w:bottom w:val="single" w:sz="4" w:space="0" w:color="auto"/>
              <w:right w:val="single" w:sz="4" w:space="0" w:color="auto"/>
            </w:tcBorders>
            <w:shd w:val="clear" w:color="auto" w:fill="auto"/>
            <w:vAlign w:val="bottom"/>
          </w:tcPr>
          <w:p w:rsidR="00C044CE" w:rsidRPr="00C044CE" w:rsidRDefault="00C044CE" w:rsidP="00C044CE">
            <w:pPr>
              <w:spacing w:after="0"/>
              <w:rPr>
                <w:sz w:val="16"/>
                <w:szCs w:val="16"/>
              </w:rPr>
            </w:pPr>
            <w:r w:rsidRPr="00C044CE">
              <w:rPr>
                <w:sz w:val="16"/>
                <w:szCs w:val="16"/>
              </w:rPr>
              <w:t>Replaced predictions with Q5-Q8 actuals.  Replace "It is at present unknown how often these events may occur in the future" with "there were 7 Safe Modes in the subsequent  3.5 y of the  mission"</w:t>
            </w:r>
          </w:p>
        </w:tc>
      </w:tr>
      <w:tr w:rsidR="00C044CE" w:rsidRPr="00C044CE">
        <w:trPr>
          <w:trHeight w:val="300"/>
        </w:trPr>
        <w:tc>
          <w:tcPr>
            <w:tcW w:w="92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jc w:val="right"/>
              <w:rPr>
                <w:sz w:val="16"/>
                <w:szCs w:val="16"/>
              </w:rPr>
            </w:pPr>
            <w:r w:rsidRPr="00C044CE">
              <w:rPr>
                <w:sz w:val="16"/>
                <w:szCs w:val="16"/>
              </w:rPr>
              <w:t>27</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rPr>
                <w:sz w:val="16"/>
                <w:szCs w:val="16"/>
              </w:rPr>
            </w:pPr>
            <w:r w:rsidRPr="00C044CE">
              <w:rPr>
                <w:sz w:val="16"/>
                <w:szCs w:val="16"/>
              </w:rPr>
              <w:t>6.2.1</w:t>
            </w:r>
          </w:p>
        </w:tc>
        <w:tc>
          <w:tcPr>
            <w:tcW w:w="728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rPr>
                <w:sz w:val="16"/>
                <w:szCs w:val="16"/>
              </w:rPr>
            </w:pPr>
            <w:r w:rsidRPr="00C044CE">
              <w:rPr>
                <w:sz w:val="16"/>
                <w:szCs w:val="16"/>
              </w:rPr>
              <w:t>Add references to CSM FC model, KAM</w:t>
            </w:r>
          </w:p>
        </w:tc>
      </w:tr>
      <w:tr w:rsidR="00C044CE" w:rsidRPr="00C044CE">
        <w:trPr>
          <w:trHeight w:val="300"/>
        </w:trPr>
        <w:tc>
          <w:tcPr>
            <w:tcW w:w="92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jc w:val="right"/>
              <w:rPr>
                <w:sz w:val="16"/>
                <w:szCs w:val="16"/>
              </w:rPr>
            </w:pPr>
            <w:r w:rsidRPr="00C044CE">
              <w:rPr>
                <w:sz w:val="16"/>
                <w:szCs w:val="16"/>
              </w:rPr>
              <w:t>28</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rPr>
                <w:sz w:val="16"/>
                <w:szCs w:val="16"/>
              </w:rPr>
            </w:pPr>
            <w:r w:rsidRPr="00C044CE">
              <w:rPr>
                <w:sz w:val="16"/>
                <w:szCs w:val="16"/>
              </w:rPr>
              <w:t>6.3</w:t>
            </w:r>
          </w:p>
        </w:tc>
        <w:tc>
          <w:tcPr>
            <w:tcW w:w="728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rPr>
                <w:sz w:val="16"/>
                <w:szCs w:val="16"/>
              </w:rPr>
            </w:pPr>
            <w:r w:rsidRPr="00C044CE">
              <w:rPr>
                <w:sz w:val="16"/>
                <w:szCs w:val="16"/>
              </w:rPr>
              <w:t>Reference KAM FC model</w:t>
            </w:r>
          </w:p>
        </w:tc>
      </w:tr>
      <w:tr w:rsidR="00C044CE" w:rsidRPr="00C044CE">
        <w:trPr>
          <w:trHeight w:val="300"/>
        </w:trPr>
        <w:tc>
          <w:tcPr>
            <w:tcW w:w="92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jc w:val="right"/>
              <w:rPr>
                <w:sz w:val="16"/>
                <w:szCs w:val="16"/>
              </w:rPr>
            </w:pPr>
            <w:r w:rsidRPr="00C044CE">
              <w:rPr>
                <w:sz w:val="16"/>
                <w:szCs w:val="16"/>
              </w:rPr>
              <w:t>29</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rPr>
                <w:sz w:val="16"/>
                <w:szCs w:val="16"/>
              </w:rPr>
            </w:pPr>
            <w:r w:rsidRPr="00C044CE">
              <w:rPr>
                <w:sz w:val="16"/>
                <w:szCs w:val="16"/>
              </w:rPr>
              <w:t>6.2.3</w:t>
            </w:r>
          </w:p>
        </w:tc>
        <w:tc>
          <w:tcPr>
            <w:tcW w:w="728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rPr>
                <w:sz w:val="16"/>
                <w:szCs w:val="16"/>
              </w:rPr>
            </w:pPr>
            <w:r w:rsidRPr="00C044CE">
              <w:rPr>
                <w:sz w:val="16"/>
                <w:szCs w:val="16"/>
              </w:rPr>
              <w:t>Add reference to Kolodziejczak et al. 2010</w:t>
            </w:r>
          </w:p>
        </w:tc>
      </w:tr>
      <w:tr w:rsidR="00C044CE" w:rsidRPr="00C044CE">
        <w:trPr>
          <w:trHeight w:val="300"/>
        </w:trPr>
        <w:tc>
          <w:tcPr>
            <w:tcW w:w="92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jc w:val="right"/>
              <w:rPr>
                <w:sz w:val="16"/>
                <w:szCs w:val="16"/>
              </w:rPr>
            </w:pPr>
            <w:r w:rsidRPr="00C044CE">
              <w:rPr>
                <w:sz w:val="16"/>
                <w:szCs w:val="16"/>
              </w:rPr>
              <w:t>30</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rPr>
                <w:sz w:val="16"/>
                <w:szCs w:val="16"/>
              </w:rPr>
            </w:pPr>
            <w:r w:rsidRPr="00C044CE">
              <w:rPr>
                <w:sz w:val="16"/>
                <w:szCs w:val="16"/>
              </w:rPr>
              <w:t>6.5.1</w:t>
            </w:r>
          </w:p>
        </w:tc>
        <w:tc>
          <w:tcPr>
            <w:tcW w:w="728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513B4D" w:rsidP="00C044CE">
            <w:pPr>
              <w:spacing w:after="0"/>
              <w:rPr>
                <w:sz w:val="16"/>
                <w:szCs w:val="16"/>
              </w:rPr>
            </w:pPr>
            <w:r>
              <w:rPr>
                <w:sz w:val="16"/>
                <w:szCs w:val="16"/>
              </w:rPr>
              <w:t>L</w:t>
            </w:r>
            <w:r w:rsidR="00C044CE" w:rsidRPr="00C044CE">
              <w:rPr>
                <w:sz w:val="16"/>
                <w:szCs w:val="16"/>
              </w:rPr>
              <w:t>ast two sentences overcome by Kolodziejczak et al. 2010</w:t>
            </w:r>
          </w:p>
        </w:tc>
      </w:tr>
      <w:tr w:rsidR="00C044CE" w:rsidRPr="00C044CE">
        <w:trPr>
          <w:trHeight w:val="300"/>
        </w:trPr>
        <w:tc>
          <w:tcPr>
            <w:tcW w:w="92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jc w:val="right"/>
              <w:rPr>
                <w:sz w:val="16"/>
                <w:szCs w:val="16"/>
              </w:rPr>
            </w:pPr>
            <w:r w:rsidRPr="00C044CE">
              <w:rPr>
                <w:sz w:val="16"/>
                <w:szCs w:val="16"/>
              </w:rPr>
              <w:t>31</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rPr>
                <w:sz w:val="16"/>
                <w:szCs w:val="16"/>
              </w:rPr>
            </w:pPr>
            <w:r w:rsidRPr="00C044CE">
              <w:rPr>
                <w:sz w:val="16"/>
                <w:szCs w:val="16"/>
              </w:rPr>
              <w:t>6.5.3</w:t>
            </w:r>
          </w:p>
        </w:tc>
        <w:tc>
          <w:tcPr>
            <w:tcW w:w="728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rPr>
                <w:sz w:val="16"/>
                <w:szCs w:val="16"/>
              </w:rPr>
            </w:pPr>
            <w:r w:rsidRPr="00C044CE">
              <w:rPr>
                <w:sz w:val="16"/>
                <w:szCs w:val="16"/>
              </w:rPr>
              <w:t>Add reference to Kolodziejczak et al. 2010 and KAM</w:t>
            </w:r>
          </w:p>
        </w:tc>
      </w:tr>
      <w:tr w:rsidR="00C044CE" w:rsidRPr="00C044CE">
        <w:trPr>
          <w:trHeight w:val="422"/>
        </w:trPr>
        <w:tc>
          <w:tcPr>
            <w:tcW w:w="92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jc w:val="right"/>
              <w:rPr>
                <w:sz w:val="16"/>
                <w:szCs w:val="16"/>
              </w:rPr>
            </w:pPr>
            <w:r w:rsidRPr="00C044CE">
              <w:rPr>
                <w:sz w:val="16"/>
                <w:szCs w:val="16"/>
              </w:rPr>
              <w:t>32</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rPr>
                <w:sz w:val="16"/>
                <w:szCs w:val="16"/>
              </w:rPr>
            </w:pPr>
            <w:r w:rsidRPr="00C044CE">
              <w:rPr>
                <w:sz w:val="16"/>
                <w:szCs w:val="16"/>
              </w:rPr>
              <w:t>6.6.3</w:t>
            </w:r>
          </w:p>
        </w:tc>
        <w:tc>
          <w:tcPr>
            <w:tcW w:w="728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513B4D">
            <w:pPr>
              <w:spacing w:after="0"/>
              <w:rPr>
                <w:sz w:val="16"/>
                <w:szCs w:val="16"/>
              </w:rPr>
            </w:pPr>
            <w:r w:rsidRPr="00C044CE">
              <w:rPr>
                <w:sz w:val="16"/>
                <w:szCs w:val="16"/>
              </w:rPr>
              <w:t>Data Release 24 and later use a dynamically generated undershoot model as part of the overall dynamic black f</w:t>
            </w:r>
            <w:r w:rsidR="00513B4D">
              <w:rPr>
                <w:sz w:val="16"/>
                <w:szCs w:val="16"/>
              </w:rPr>
              <w:t>it (Kolodziejczak et al., 2010).</w:t>
            </w:r>
          </w:p>
        </w:tc>
      </w:tr>
      <w:tr w:rsidR="00C044CE" w:rsidRPr="00C044CE">
        <w:trPr>
          <w:trHeight w:val="300"/>
        </w:trPr>
        <w:tc>
          <w:tcPr>
            <w:tcW w:w="92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jc w:val="right"/>
              <w:rPr>
                <w:sz w:val="16"/>
                <w:szCs w:val="16"/>
              </w:rPr>
            </w:pPr>
            <w:r w:rsidRPr="00C044CE">
              <w:rPr>
                <w:sz w:val="16"/>
                <w:szCs w:val="16"/>
              </w:rPr>
              <w:t>33</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rPr>
                <w:sz w:val="16"/>
                <w:szCs w:val="16"/>
              </w:rPr>
            </w:pPr>
            <w:r w:rsidRPr="00C044CE">
              <w:rPr>
                <w:sz w:val="16"/>
                <w:szCs w:val="16"/>
              </w:rPr>
              <w:t>6.7.6</w:t>
            </w:r>
          </w:p>
        </w:tc>
        <w:tc>
          <w:tcPr>
            <w:tcW w:w="728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rPr>
                <w:sz w:val="16"/>
                <w:szCs w:val="16"/>
              </w:rPr>
            </w:pPr>
            <w:r w:rsidRPr="00C044CE">
              <w:rPr>
                <w:sz w:val="16"/>
                <w:szCs w:val="16"/>
              </w:rPr>
              <w:t>Add reference to Kolodziejczak et al. 2010 and KAM</w:t>
            </w:r>
          </w:p>
        </w:tc>
      </w:tr>
      <w:tr w:rsidR="00C044CE" w:rsidRPr="00C044CE">
        <w:trPr>
          <w:trHeight w:val="300"/>
        </w:trPr>
        <w:tc>
          <w:tcPr>
            <w:tcW w:w="92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jc w:val="right"/>
              <w:rPr>
                <w:sz w:val="16"/>
                <w:szCs w:val="16"/>
              </w:rPr>
            </w:pPr>
            <w:r w:rsidRPr="00C044CE">
              <w:rPr>
                <w:sz w:val="16"/>
                <w:szCs w:val="16"/>
              </w:rPr>
              <w:t>34</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rPr>
                <w:sz w:val="16"/>
                <w:szCs w:val="16"/>
              </w:rPr>
            </w:pPr>
            <w:r w:rsidRPr="00C044CE">
              <w:rPr>
                <w:sz w:val="16"/>
                <w:szCs w:val="16"/>
              </w:rPr>
              <w:t>7.1</w:t>
            </w:r>
          </w:p>
        </w:tc>
        <w:tc>
          <w:tcPr>
            <w:tcW w:w="728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rPr>
                <w:sz w:val="16"/>
                <w:szCs w:val="16"/>
              </w:rPr>
            </w:pPr>
            <w:r w:rsidRPr="00C044CE">
              <w:rPr>
                <w:sz w:val="16"/>
                <w:szCs w:val="16"/>
              </w:rPr>
              <w:t>Historical Safe Modes are shown in the Mission Timeline in the KDCH §4.1.</w:t>
            </w:r>
          </w:p>
        </w:tc>
      </w:tr>
      <w:tr w:rsidR="00C044CE" w:rsidRPr="00C044CE">
        <w:trPr>
          <w:trHeight w:val="300"/>
        </w:trPr>
        <w:tc>
          <w:tcPr>
            <w:tcW w:w="92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jc w:val="right"/>
              <w:rPr>
                <w:sz w:val="16"/>
                <w:szCs w:val="16"/>
              </w:rPr>
            </w:pPr>
            <w:r w:rsidRPr="00C044CE">
              <w:rPr>
                <w:sz w:val="16"/>
                <w:szCs w:val="16"/>
              </w:rPr>
              <w:t>35</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rPr>
                <w:sz w:val="16"/>
                <w:szCs w:val="16"/>
              </w:rPr>
            </w:pPr>
            <w:r w:rsidRPr="00C044CE">
              <w:rPr>
                <w:sz w:val="16"/>
                <w:szCs w:val="16"/>
              </w:rPr>
              <w:t>7.2.1</w:t>
            </w:r>
          </w:p>
        </w:tc>
        <w:tc>
          <w:tcPr>
            <w:tcW w:w="728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rPr>
                <w:sz w:val="16"/>
                <w:szCs w:val="16"/>
              </w:rPr>
            </w:pPr>
            <w:r w:rsidRPr="00C044CE">
              <w:rPr>
                <w:sz w:val="16"/>
                <w:szCs w:val="16"/>
              </w:rPr>
              <w:t>Remove reference to Data "Analysis" Handbook</w:t>
            </w:r>
          </w:p>
        </w:tc>
      </w:tr>
      <w:tr w:rsidR="00C044CE" w:rsidRPr="00C044CE">
        <w:trPr>
          <w:trHeight w:val="300"/>
        </w:trPr>
        <w:tc>
          <w:tcPr>
            <w:tcW w:w="92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jc w:val="right"/>
              <w:rPr>
                <w:sz w:val="16"/>
                <w:szCs w:val="16"/>
              </w:rPr>
            </w:pPr>
            <w:r w:rsidRPr="00C044CE">
              <w:rPr>
                <w:sz w:val="16"/>
                <w:szCs w:val="16"/>
              </w:rPr>
              <w:t>36</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rPr>
                <w:sz w:val="16"/>
                <w:szCs w:val="16"/>
              </w:rPr>
            </w:pPr>
            <w:r w:rsidRPr="00C044CE">
              <w:rPr>
                <w:sz w:val="16"/>
                <w:szCs w:val="16"/>
              </w:rPr>
              <w:t>7.2.2</w:t>
            </w:r>
          </w:p>
        </w:tc>
        <w:tc>
          <w:tcPr>
            <w:tcW w:w="7280" w:type="dxa"/>
            <w:tcBorders>
              <w:top w:val="nil"/>
              <w:left w:val="nil"/>
              <w:bottom w:val="nil"/>
              <w:right w:val="nil"/>
            </w:tcBorders>
            <w:shd w:val="clear" w:color="auto" w:fill="auto"/>
            <w:vAlign w:val="bottom"/>
          </w:tcPr>
          <w:p w:rsidR="00C044CE" w:rsidRPr="00C044CE" w:rsidRDefault="00C044CE" w:rsidP="00C044CE">
            <w:pPr>
              <w:spacing w:after="0"/>
              <w:rPr>
                <w:sz w:val="16"/>
                <w:szCs w:val="16"/>
              </w:rPr>
            </w:pPr>
            <w:r w:rsidRPr="00C044CE">
              <w:rPr>
                <w:sz w:val="16"/>
                <w:szCs w:val="16"/>
              </w:rPr>
              <w:t>KAM §2.4 has additional description of these and other parameters.</w:t>
            </w:r>
          </w:p>
        </w:tc>
      </w:tr>
      <w:tr w:rsidR="00C044CE" w:rsidRPr="00C044CE">
        <w:trPr>
          <w:trHeight w:val="620"/>
        </w:trPr>
        <w:tc>
          <w:tcPr>
            <w:tcW w:w="92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jc w:val="right"/>
              <w:rPr>
                <w:sz w:val="16"/>
                <w:szCs w:val="16"/>
              </w:rPr>
            </w:pPr>
            <w:r w:rsidRPr="00C044CE">
              <w:rPr>
                <w:sz w:val="16"/>
                <w:szCs w:val="16"/>
              </w:rPr>
              <w:t>37</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rPr>
                <w:sz w:val="16"/>
                <w:szCs w:val="16"/>
              </w:rPr>
            </w:pPr>
            <w:r w:rsidRPr="00C044CE">
              <w:rPr>
                <w:sz w:val="16"/>
                <w:szCs w:val="16"/>
              </w:rPr>
              <w:t>7.3</w:t>
            </w:r>
          </w:p>
        </w:tc>
        <w:tc>
          <w:tcPr>
            <w:tcW w:w="728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rPr>
                <w:sz w:val="16"/>
                <w:szCs w:val="16"/>
              </w:rPr>
            </w:pPr>
            <w:r w:rsidRPr="00C044CE">
              <w:rPr>
                <w:sz w:val="16"/>
                <w:szCs w:val="16"/>
              </w:rPr>
              <w:t>Remove warning.  Reword VTC --&gt; UTC part of process.  Remove "It is proposed to adjust the time tags to represent the time slice offset due to multiplexing the ADCs (see item 4 above and Figure 34), but not yet implemented."</w:t>
            </w:r>
          </w:p>
        </w:tc>
      </w:tr>
      <w:tr w:rsidR="00C044CE" w:rsidRPr="00C044CE">
        <w:trPr>
          <w:trHeight w:val="420"/>
        </w:trPr>
        <w:tc>
          <w:tcPr>
            <w:tcW w:w="92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jc w:val="right"/>
              <w:rPr>
                <w:sz w:val="16"/>
                <w:szCs w:val="16"/>
              </w:rPr>
            </w:pPr>
            <w:r w:rsidRPr="00C044CE">
              <w:rPr>
                <w:sz w:val="16"/>
                <w:szCs w:val="16"/>
              </w:rPr>
              <w:t>38</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rPr>
                <w:sz w:val="16"/>
                <w:szCs w:val="16"/>
              </w:rPr>
            </w:pPr>
            <w:r w:rsidRPr="00C044CE">
              <w:rPr>
                <w:sz w:val="16"/>
                <w:szCs w:val="16"/>
              </w:rPr>
              <w:t>7.4</w:t>
            </w:r>
          </w:p>
        </w:tc>
        <w:tc>
          <w:tcPr>
            <w:tcW w:w="728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rPr>
                <w:sz w:val="16"/>
                <w:szCs w:val="16"/>
              </w:rPr>
            </w:pPr>
            <w:r w:rsidRPr="00C044CE">
              <w:rPr>
                <w:sz w:val="16"/>
                <w:szCs w:val="16"/>
              </w:rPr>
              <w:t>Correct observed Kepler compression to 4.7-5.3 bits/pix. Cite Jenkins et al. §12 (2004).  Add sections on baseline subtraction and Huffman coding</w:t>
            </w:r>
          </w:p>
        </w:tc>
      </w:tr>
      <w:tr w:rsidR="00C044CE" w:rsidRPr="00C044CE">
        <w:trPr>
          <w:trHeight w:val="420"/>
        </w:trPr>
        <w:tc>
          <w:tcPr>
            <w:tcW w:w="92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jc w:val="right"/>
              <w:rPr>
                <w:sz w:val="16"/>
                <w:szCs w:val="16"/>
              </w:rPr>
            </w:pPr>
            <w:r w:rsidRPr="00C044CE">
              <w:rPr>
                <w:sz w:val="16"/>
                <w:szCs w:val="16"/>
              </w:rPr>
              <w:t>39</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rPr>
                <w:sz w:val="16"/>
                <w:szCs w:val="16"/>
              </w:rPr>
            </w:pPr>
            <w:r w:rsidRPr="00C044CE">
              <w:rPr>
                <w:sz w:val="16"/>
                <w:szCs w:val="16"/>
              </w:rPr>
              <w:t>7.5</w:t>
            </w:r>
          </w:p>
        </w:tc>
        <w:tc>
          <w:tcPr>
            <w:tcW w:w="728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rPr>
                <w:sz w:val="16"/>
                <w:szCs w:val="16"/>
              </w:rPr>
            </w:pPr>
            <w:r w:rsidRPr="00C044CE">
              <w:rPr>
                <w:sz w:val="16"/>
                <w:szCs w:val="16"/>
              </w:rPr>
              <w:t>Replace SSTVT with "lab photometry experiments". KDCH §3 shows statistics for the actual CDPP throughout the Kepler mission</w:t>
            </w:r>
          </w:p>
        </w:tc>
      </w:tr>
      <w:tr w:rsidR="00C044CE" w:rsidRPr="00C044CE">
        <w:trPr>
          <w:trHeight w:val="300"/>
        </w:trPr>
        <w:tc>
          <w:tcPr>
            <w:tcW w:w="92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jc w:val="right"/>
              <w:rPr>
                <w:sz w:val="16"/>
                <w:szCs w:val="16"/>
              </w:rPr>
            </w:pPr>
            <w:r w:rsidRPr="00C044CE">
              <w:rPr>
                <w:sz w:val="16"/>
                <w:szCs w:val="16"/>
              </w:rPr>
              <w:t>40</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rPr>
                <w:sz w:val="16"/>
                <w:szCs w:val="16"/>
              </w:rPr>
            </w:pPr>
            <w:r w:rsidRPr="00C044CE">
              <w:rPr>
                <w:sz w:val="16"/>
                <w:szCs w:val="16"/>
              </w:rPr>
              <w:t>7.6</w:t>
            </w:r>
          </w:p>
        </w:tc>
        <w:tc>
          <w:tcPr>
            <w:tcW w:w="728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rPr>
                <w:sz w:val="16"/>
                <w:szCs w:val="16"/>
              </w:rPr>
            </w:pPr>
            <w:r w:rsidRPr="00C044CE">
              <w:rPr>
                <w:sz w:val="16"/>
                <w:szCs w:val="16"/>
              </w:rPr>
              <w:t>Reference FC models.  Note Radec2Pix supplement is still important</w:t>
            </w:r>
          </w:p>
        </w:tc>
      </w:tr>
      <w:tr w:rsidR="00C044CE" w:rsidRPr="00C044CE">
        <w:trPr>
          <w:trHeight w:val="620"/>
        </w:trPr>
        <w:tc>
          <w:tcPr>
            <w:tcW w:w="92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jc w:val="right"/>
              <w:rPr>
                <w:sz w:val="16"/>
                <w:szCs w:val="16"/>
              </w:rPr>
            </w:pPr>
            <w:r w:rsidRPr="00C044CE">
              <w:rPr>
                <w:sz w:val="16"/>
                <w:szCs w:val="16"/>
              </w:rPr>
              <w:t>41</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rPr>
                <w:sz w:val="16"/>
                <w:szCs w:val="16"/>
              </w:rPr>
            </w:pPr>
            <w:r w:rsidRPr="00C044CE">
              <w:rPr>
                <w:sz w:val="16"/>
                <w:szCs w:val="16"/>
              </w:rPr>
              <w:t>7.7</w:t>
            </w:r>
          </w:p>
        </w:tc>
        <w:tc>
          <w:tcPr>
            <w:tcW w:w="728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rPr>
                <w:sz w:val="16"/>
                <w:szCs w:val="16"/>
              </w:rPr>
            </w:pPr>
            <w:r w:rsidRPr="00C044CE">
              <w:rPr>
                <w:sz w:val="16"/>
                <w:szCs w:val="16"/>
              </w:rPr>
              <w:t>Remove "If at some future time it is necessary to swap sides to the Side 1 electronics, the Side 1 detector properties will be published in the subsequent release of this Handbook," reference FC models</w:t>
            </w:r>
          </w:p>
        </w:tc>
      </w:tr>
      <w:tr w:rsidR="00C044CE" w:rsidRPr="00C044CE">
        <w:trPr>
          <w:trHeight w:val="300"/>
        </w:trPr>
        <w:tc>
          <w:tcPr>
            <w:tcW w:w="92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jc w:val="right"/>
              <w:rPr>
                <w:sz w:val="16"/>
                <w:szCs w:val="16"/>
              </w:rPr>
            </w:pPr>
            <w:r w:rsidRPr="00C044CE">
              <w:rPr>
                <w:sz w:val="16"/>
                <w:szCs w:val="16"/>
              </w:rPr>
              <w:t>42</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rPr>
                <w:sz w:val="16"/>
                <w:szCs w:val="16"/>
              </w:rPr>
            </w:pPr>
            <w:r w:rsidRPr="00C044CE">
              <w:rPr>
                <w:sz w:val="16"/>
                <w:szCs w:val="16"/>
              </w:rPr>
              <w:t>9</w:t>
            </w:r>
          </w:p>
        </w:tc>
        <w:tc>
          <w:tcPr>
            <w:tcW w:w="7280" w:type="dxa"/>
            <w:tcBorders>
              <w:top w:val="single" w:sz="4" w:space="0" w:color="auto"/>
              <w:left w:val="single" w:sz="4" w:space="0" w:color="auto"/>
              <w:bottom w:val="single" w:sz="4" w:space="0" w:color="auto"/>
              <w:right w:val="single" w:sz="4" w:space="0" w:color="auto"/>
            </w:tcBorders>
            <w:shd w:val="clear" w:color="auto" w:fill="auto"/>
            <w:vAlign w:val="bottom"/>
          </w:tcPr>
          <w:p w:rsidR="00C044CE" w:rsidRPr="00C044CE" w:rsidRDefault="00C044CE" w:rsidP="00C044CE">
            <w:pPr>
              <w:spacing w:after="0"/>
              <w:rPr>
                <w:sz w:val="16"/>
                <w:szCs w:val="16"/>
              </w:rPr>
            </w:pPr>
            <w:r w:rsidRPr="00C044CE">
              <w:rPr>
                <w:sz w:val="16"/>
                <w:szCs w:val="16"/>
              </w:rPr>
              <w:t>Replace grey literature where possible and standardize bibliographic style</w:t>
            </w:r>
          </w:p>
        </w:tc>
      </w:tr>
    </w:tbl>
    <w:p w:rsidR="00404448" w:rsidRDefault="00404448">
      <w:pPr>
        <w:rPr>
          <w:rFonts w:ascii="Times" w:hAnsi="Times"/>
        </w:rPr>
      </w:pPr>
    </w:p>
    <w:p w:rsidR="00404448" w:rsidRDefault="00404448" w:rsidP="005B7E9A">
      <w:pPr>
        <w:rPr>
          <w:rFonts w:ascii="Times" w:hAnsi="Times"/>
        </w:rPr>
      </w:pPr>
      <w:r>
        <w:rPr>
          <w:rFonts w:ascii="Times" w:hAnsi="Times"/>
        </w:rPr>
        <w:br w:type="page"/>
      </w:r>
    </w:p>
    <w:p w:rsidR="00404448" w:rsidRPr="004B5BC0" w:rsidRDefault="00404448" w:rsidP="00404448">
      <w:pPr>
        <w:jc w:val="center"/>
        <w:outlineLvl w:val="0"/>
        <w:rPr>
          <w:rFonts w:ascii="Times" w:hAnsi="Times"/>
          <w:sz w:val="24"/>
        </w:rPr>
      </w:pPr>
      <w:r w:rsidRPr="00245B33">
        <w:rPr>
          <w:rFonts w:ascii="Times" w:hAnsi="Times"/>
          <w:b/>
          <w:sz w:val="24"/>
        </w:rPr>
        <w:t>Table of Contents</w:t>
      </w:r>
    </w:p>
    <w:p w:rsidR="004B5BC0" w:rsidRDefault="004B5BC0">
      <w:pPr>
        <w:pStyle w:val="TOC1"/>
        <w:tabs>
          <w:tab w:val="left" w:pos="407"/>
          <w:tab w:val="right" w:leader="dot" w:pos="9350"/>
        </w:tabs>
        <w:rPr>
          <w:rFonts w:asciiTheme="minorHAnsi" w:eastAsiaTheme="minorEastAsia" w:hAnsiTheme="minorHAnsi" w:cstheme="minorBidi"/>
          <w:noProof/>
          <w:sz w:val="24"/>
        </w:rPr>
      </w:pPr>
      <w:r>
        <w:rPr>
          <w:rFonts w:ascii="Times" w:hAnsi="Times"/>
        </w:rPr>
        <w:fldChar w:fldCharType="begin"/>
      </w:r>
      <w:r>
        <w:rPr>
          <w:rFonts w:ascii="Times" w:hAnsi="Times"/>
        </w:rPr>
        <w:instrText xml:space="preserve"> TOC \o "1-4" \t "Appendix,1" </w:instrText>
      </w:r>
      <w:r>
        <w:rPr>
          <w:rFonts w:ascii="Times" w:hAnsi="Times"/>
        </w:rPr>
        <w:fldChar w:fldCharType="separate"/>
      </w:r>
      <w:r w:rsidRPr="00B34677">
        <w:rPr>
          <w:noProof/>
          <w:snapToGrid w:val="0"/>
        </w:rPr>
        <w:t>1.</w:t>
      </w:r>
      <w:r>
        <w:rPr>
          <w:rFonts w:asciiTheme="minorHAnsi" w:eastAsiaTheme="minorEastAsia" w:hAnsiTheme="minorHAnsi" w:cstheme="minorBidi"/>
          <w:noProof/>
          <w:sz w:val="24"/>
        </w:rPr>
        <w:tab/>
      </w:r>
      <w:r w:rsidRPr="00B34677">
        <w:rPr>
          <w:noProof/>
          <w:snapToGrid w:val="0"/>
        </w:rPr>
        <w:t>Introduction to the Instrument Handbook</w:t>
      </w:r>
      <w:r>
        <w:rPr>
          <w:noProof/>
        </w:rPr>
        <w:tab/>
      </w:r>
      <w:r>
        <w:rPr>
          <w:noProof/>
        </w:rPr>
        <w:fldChar w:fldCharType="begin"/>
      </w:r>
      <w:r>
        <w:rPr>
          <w:noProof/>
        </w:rPr>
        <w:instrText xml:space="preserve"> PAGEREF _Toc322942126 \h </w:instrText>
      </w:r>
      <w:r w:rsidR="002559BD">
        <w:rPr>
          <w:noProof/>
        </w:rPr>
      </w:r>
      <w:r>
        <w:rPr>
          <w:noProof/>
        </w:rPr>
        <w:fldChar w:fldCharType="separate"/>
      </w:r>
      <w:r>
        <w:rPr>
          <w:noProof/>
        </w:rPr>
        <w:t>14</w:t>
      </w:r>
      <w:r>
        <w:rPr>
          <w:noProof/>
        </w:rPr>
        <w:fldChar w:fldCharType="end"/>
      </w:r>
    </w:p>
    <w:p w:rsidR="004B5BC0" w:rsidRDefault="004B5BC0">
      <w:pPr>
        <w:pStyle w:val="TOC2"/>
        <w:tabs>
          <w:tab w:val="left" w:pos="758"/>
          <w:tab w:val="right" w:leader="dot" w:pos="9350"/>
        </w:tabs>
        <w:rPr>
          <w:rFonts w:asciiTheme="minorHAnsi" w:eastAsiaTheme="minorEastAsia" w:hAnsiTheme="minorHAnsi" w:cstheme="minorBidi"/>
          <w:noProof/>
          <w:sz w:val="24"/>
        </w:rPr>
      </w:pPr>
      <w:r w:rsidRPr="00B34677">
        <w:rPr>
          <w:noProof/>
          <w:snapToGrid w:val="0"/>
        </w:rPr>
        <w:t>1.1</w:t>
      </w:r>
      <w:r>
        <w:rPr>
          <w:rFonts w:asciiTheme="minorHAnsi" w:eastAsiaTheme="minorEastAsia" w:hAnsiTheme="minorHAnsi" w:cstheme="minorBidi"/>
          <w:noProof/>
          <w:sz w:val="24"/>
        </w:rPr>
        <w:tab/>
      </w:r>
      <w:r w:rsidRPr="00B34677">
        <w:rPr>
          <w:noProof/>
          <w:snapToGrid w:val="0"/>
        </w:rPr>
        <w:t>Scope and Companion Documents</w:t>
      </w:r>
      <w:r>
        <w:rPr>
          <w:noProof/>
        </w:rPr>
        <w:tab/>
      </w:r>
      <w:r>
        <w:rPr>
          <w:noProof/>
        </w:rPr>
        <w:fldChar w:fldCharType="begin"/>
      </w:r>
      <w:r>
        <w:rPr>
          <w:noProof/>
        </w:rPr>
        <w:instrText xml:space="preserve"> PAGEREF _Toc322942127 \h </w:instrText>
      </w:r>
      <w:r w:rsidR="002559BD">
        <w:rPr>
          <w:noProof/>
        </w:rPr>
      </w:r>
      <w:r>
        <w:rPr>
          <w:noProof/>
        </w:rPr>
        <w:fldChar w:fldCharType="separate"/>
      </w:r>
      <w:r>
        <w:rPr>
          <w:noProof/>
        </w:rPr>
        <w:t>14</w:t>
      </w:r>
      <w:r>
        <w:rPr>
          <w:noProof/>
        </w:rPr>
        <w:fldChar w:fldCharType="end"/>
      </w:r>
    </w:p>
    <w:p w:rsidR="004B5BC0" w:rsidRDefault="004B5BC0">
      <w:pPr>
        <w:pStyle w:val="TOC2"/>
        <w:tabs>
          <w:tab w:val="left" w:pos="758"/>
          <w:tab w:val="right" w:leader="dot" w:pos="9350"/>
        </w:tabs>
        <w:rPr>
          <w:rFonts w:asciiTheme="minorHAnsi" w:eastAsiaTheme="minorEastAsia" w:hAnsiTheme="minorHAnsi" w:cstheme="minorBidi"/>
          <w:noProof/>
          <w:sz w:val="24"/>
        </w:rPr>
      </w:pPr>
      <w:r w:rsidRPr="00B34677">
        <w:rPr>
          <w:noProof/>
          <w:snapToGrid w:val="0"/>
        </w:rPr>
        <w:t>1.2</w:t>
      </w:r>
      <w:r>
        <w:rPr>
          <w:rFonts w:asciiTheme="minorHAnsi" w:eastAsiaTheme="minorEastAsia" w:hAnsiTheme="minorHAnsi" w:cstheme="minorBidi"/>
          <w:noProof/>
          <w:sz w:val="24"/>
        </w:rPr>
        <w:tab/>
      </w:r>
      <w:r w:rsidRPr="00B34677">
        <w:rPr>
          <w:noProof/>
          <w:snapToGrid w:val="0"/>
        </w:rPr>
        <w:t>Document Organization</w:t>
      </w:r>
      <w:r>
        <w:rPr>
          <w:noProof/>
        </w:rPr>
        <w:tab/>
      </w:r>
      <w:r>
        <w:rPr>
          <w:noProof/>
        </w:rPr>
        <w:fldChar w:fldCharType="begin"/>
      </w:r>
      <w:r>
        <w:rPr>
          <w:noProof/>
        </w:rPr>
        <w:instrText xml:space="preserve"> PAGEREF _Toc322942128 \h </w:instrText>
      </w:r>
      <w:r w:rsidR="002559BD">
        <w:rPr>
          <w:noProof/>
        </w:rPr>
      </w:r>
      <w:r>
        <w:rPr>
          <w:noProof/>
        </w:rPr>
        <w:fldChar w:fldCharType="separate"/>
      </w:r>
      <w:r>
        <w:rPr>
          <w:noProof/>
        </w:rPr>
        <w:t>14</w:t>
      </w:r>
      <w:r>
        <w:rPr>
          <w:noProof/>
        </w:rPr>
        <w:fldChar w:fldCharType="end"/>
      </w:r>
    </w:p>
    <w:p w:rsidR="004B5BC0" w:rsidRDefault="004B5BC0">
      <w:pPr>
        <w:pStyle w:val="TOC2"/>
        <w:tabs>
          <w:tab w:val="left" w:pos="758"/>
          <w:tab w:val="right" w:leader="dot" w:pos="9350"/>
        </w:tabs>
        <w:rPr>
          <w:rFonts w:asciiTheme="minorHAnsi" w:eastAsiaTheme="minorEastAsia" w:hAnsiTheme="minorHAnsi" w:cstheme="minorBidi"/>
          <w:noProof/>
          <w:sz w:val="24"/>
        </w:rPr>
      </w:pPr>
      <w:r w:rsidRPr="00B34677">
        <w:rPr>
          <w:noProof/>
          <w:snapToGrid w:val="0"/>
        </w:rPr>
        <w:t>1.3</w:t>
      </w:r>
      <w:r>
        <w:rPr>
          <w:rFonts w:asciiTheme="minorHAnsi" w:eastAsiaTheme="minorEastAsia" w:hAnsiTheme="minorHAnsi" w:cstheme="minorBidi"/>
          <w:noProof/>
          <w:sz w:val="24"/>
        </w:rPr>
        <w:tab/>
      </w:r>
      <w:r w:rsidRPr="00B34677">
        <w:rPr>
          <w:noProof/>
          <w:snapToGrid w:val="0"/>
        </w:rPr>
        <w:t>Document Update Plans</w:t>
      </w:r>
      <w:r>
        <w:rPr>
          <w:noProof/>
        </w:rPr>
        <w:tab/>
      </w:r>
      <w:r>
        <w:rPr>
          <w:noProof/>
        </w:rPr>
        <w:fldChar w:fldCharType="begin"/>
      </w:r>
      <w:r>
        <w:rPr>
          <w:noProof/>
        </w:rPr>
        <w:instrText xml:space="preserve"> PAGEREF _Toc322942129 \h </w:instrText>
      </w:r>
      <w:r w:rsidR="002559BD">
        <w:rPr>
          <w:noProof/>
        </w:rPr>
      </w:r>
      <w:r>
        <w:rPr>
          <w:noProof/>
        </w:rPr>
        <w:fldChar w:fldCharType="separate"/>
      </w:r>
      <w:r>
        <w:rPr>
          <w:noProof/>
        </w:rPr>
        <w:t>14</w:t>
      </w:r>
      <w:r>
        <w:rPr>
          <w:noProof/>
        </w:rPr>
        <w:fldChar w:fldCharType="end"/>
      </w:r>
    </w:p>
    <w:p w:rsidR="004B5BC0" w:rsidRDefault="004B5BC0">
      <w:pPr>
        <w:pStyle w:val="TOC1"/>
        <w:tabs>
          <w:tab w:val="left" w:pos="407"/>
          <w:tab w:val="right" w:leader="dot" w:pos="9350"/>
        </w:tabs>
        <w:rPr>
          <w:rFonts w:asciiTheme="minorHAnsi" w:eastAsiaTheme="minorEastAsia" w:hAnsiTheme="minorHAnsi" w:cstheme="minorBidi"/>
          <w:noProof/>
          <w:sz w:val="24"/>
        </w:rPr>
      </w:pPr>
      <w:r w:rsidRPr="00B34677">
        <w:rPr>
          <w:noProof/>
          <w:snapToGrid w:val="0"/>
        </w:rPr>
        <w:t>2.</w:t>
      </w:r>
      <w:r>
        <w:rPr>
          <w:rFonts w:asciiTheme="minorHAnsi" w:eastAsiaTheme="minorEastAsia" w:hAnsiTheme="minorHAnsi" w:cstheme="minorBidi"/>
          <w:noProof/>
          <w:sz w:val="24"/>
        </w:rPr>
        <w:tab/>
      </w:r>
      <w:r w:rsidRPr="00B34677">
        <w:rPr>
          <w:noProof/>
          <w:snapToGrid w:val="0"/>
        </w:rPr>
        <w:t>Introduction to Kepler</w:t>
      </w:r>
      <w:r>
        <w:rPr>
          <w:noProof/>
        </w:rPr>
        <w:tab/>
      </w:r>
      <w:r>
        <w:rPr>
          <w:noProof/>
        </w:rPr>
        <w:fldChar w:fldCharType="begin"/>
      </w:r>
      <w:r>
        <w:rPr>
          <w:noProof/>
        </w:rPr>
        <w:instrText xml:space="preserve"> PAGEREF _Toc322942130 \h </w:instrText>
      </w:r>
      <w:r w:rsidR="002559BD">
        <w:rPr>
          <w:noProof/>
        </w:rPr>
      </w:r>
      <w:r>
        <w:rPr>
          <w:noProof/>
        </w:rPr>
        <w:fldChar w:fldCharType="separate"/>
      </w:r>
      <w:r>
        <w:rPr>
          <w:noProof/>
        </w:rPr>
        <w:t>15</w:t>
      </w:r>
      <w:r>
        <w:rPr>
          <w:noProof/>
        </w:rPr>
        <w:fldChar w:fldCharType="end"/>
      </w:r>
    </w:p>
    <w:p w:rsidR="004B5BC0" w:rsidRDefault="004B5BC0">
      <w:pPr>
        <w:pStyle w:val="TOC2"/>
        <w:tabs>
          <w:tab w:val="left" w:pos="758"/>
          <w:tab w:val="right" w:leader="dot" w:pos="9350"/>
        </w:tabs>
        <w:rPr>
          <w:rFonts w:asciiTheme="minorHAnsi" w:eastAsiaTheme="minorEastAsia" w:hAnsiTheme="minorHAnsi" w:cstheme="minorBidi"/>
          <w:noProof/>
          <w:sz w:val="24"/>
        </w:rPr>
      </w:pPr>
      <w:r w:rsidRPr="00B34677">
        <w:rPr>
          <w:noProof/>
          <w:snapToGrid w:val="0"/>
        </w:rPr>
        <w:t>2.1</w:t>
      </w:r>
      <w:r>
        <w:rPr>
          <w:rFonts w:asciiTheme="minorHAnsi" w:eastAsiaTheme="minorEastAsia" w:hAnsiTheme="minorHAnsi" w:cstheme="minorBidi"/>
          <w:noProof/>
          <w:sz w:val="24"/>
        </w:rPr>
        <w:tab/>
      </w:r>
      <w:r w:rsidRPr="00B34677">
        <w:rPr>
          <w:noProof/>
          <w:snapToGrid w:val="0"/>
        </w:rPr>
        <w:t>Mission Overview</w:t>
      </w:r>
      <w:r>
        <w:rPr>
          <w:noProof/>
        </w:rPr>
        <w:tab/>
      </w:r>
      <w:r>
        <w:rPr>
          <w:noProof/>
        </w:rPr>
        <w:fldChar w:fldCharType="begin"/>
      </w:r>
      <w:r>
        <w:rPr>
          <w:noProof/>
        </w:rPr>
        <w:instrText xml:space="preserve"> PAGEREF _Toc322942131 \h </w:instrText>
      </w:r>
      <w:r w:rsidR="002559BD">
        <w:rPr>
          <w:noProof/>
        </w:rPr>
      </w:r>
      <w:r>
        <w:rPr>
          <w:noProof/>
        </w:rPr>
        <w:fldChar w:fldCharType="separate"/>
      </w:r>
      <w:r>
        <w:rPr>
          <w:noProof/>
        </w:rPr>
        <w:t>15</w:t>
      </w:r>
      <w:r>
        <w:rPr>
          <w:noProof/>
        </w:rPr>
        <w:fldChar w:fldCharType="end"/>
      </w:r>
    </w:p>
    <w:p w:rsidR="004B5BC0" w:rsidRDefault="004B5BC0">
      <w:pPr>
        <w:pStyle w:val="TOC2"/>
        <w:tabs>
          <w:tab w:val="left" w:pos="758"/>
          <w:tab w:val="right" w:leader="dot" w:pos="9350"/>
        </w:tabs>
        <w:rPr>
          <w:rFonts w:asciiTheme="minorHAnsi" w:eastAsiaTheme="minorEastAsia" w:hAnsiTheme="minorHAnsi" w:cstheme="minorBidi"/>
          <w:noProof/>
          <w:sz w:val="24"/>
        </w:rPr>
      </w:pPr>
      <w:r>
        <w:rPr>
          <w:noProof/>
        </w:rPr>
        <w:t>2.2</w:t>
      </w:r>
      <w:r>
        <w:rPr>
          <w:rFonts w:asciiTheme="minorHAnsi" w:eastAsiaTheme="minorEastAsia" w:hAnsiTheme="minorHAnsi" w:cstheme="minorBidi"/>
          <w:noProof/>
          <w:sz w:val="24"/>
        </w:rPr>
        <w:tab/>
      </w:r>
      <w:r>
        <w:rPr>
          <w:noProof/>
        </w:rPr>
        <w:t>Commissioning</w:t>
      </w:r>
      <w:r>
        <w:rPr>
          <w:noProof/>
        </w:rPr>
        <w:tab/>
      </w:r>
      <w:r>
        <w:rPr>
          <w:noProof/>
        </w:rPr>
        <w:fldChar w:fldCharType="begin"/>
      </w:r>
      <w:r>
        <w:rPr>
          <w:noProof/>
        </w:rPr>
        <w:instrText xml:space="preserve"> PAGEREF _Toc322942132 \h </w:instrText>
      </w:r>
      <w:r w:rsidR="002559BD">
        <w:rPr>
          <w:noProof/>
        </w:rPr>
      </w:r>
      <w:r>
        <w:rPr>
          <w:noProof/>
        </w:rPr>
        <w:fldChar w:fldCharType="separate"/>
      </w:r>
      <w:r>
        <w:rPr>
          <w:noProof/>
        </w:rPr>
        <w:t>16</w:t>
      </w:r>
      <w:r>
        <w:rPr>
          <w:noProof/>
        </w:rPr>
        <w:fldChar w:fldCharType="end"/>
      </w:r>
    </w:p>
    <w:p w:rsidR="004B5BC0" w:rsidRDefault="004B5BC0">
      <w:pPr>
        <w:pStyle w:val="TOC2"/>
        <w:tabs>
          <w:tab w:val="left" w:pos="758"/>
          <w:tab w:val="right" w:leader="dot" w:pos="9350"/>
        </w:tabs>
        <w:rPr>
          <w:rFonts w:asciiTheme="minorHAnsi" w:eastAsiaTheme="minorEastAsia" w:hAnsiTheme="minorHAnsi" w:cstheme="minorBidi"/>
          <w:noProof/>
          <w:sz w:val="24"/>
        </w:rPr>
      </w:pPr>
      <w:r>
        <w:rPr>
          <w:noProof/>
        </w:rPr>
        <w:t>2.3</w:t>
      </w:r>
      <w:r>
        <w:rPr>
          <w:rFonts w:asciiTheme="minorHAnsi" w:eastAsiaTheme="minorEastAsia" w:hAnsiTheme="minorHAnsi" w:cstheme="minorBidi"/>
          <w:noProof/>
          <w:sz w:val="24"/>
        </w:rPr>
        <w:tab/>
      </w:r>
      <w:r>
        <w:rPr>
          <w:noProof/>
        </w:rPr>
        <w:t>Celestial Field of View</w:t>
      </w:r>
      <w:r>
        <w:rPr>
          <w:noProof/>
        </w:rPr>
        <w:tab/>
      </w:r>
      <w:r>
        <w:rPr>
          <w:noProof/>
        </w:rPr>
        <w:fldChar w:fldCharType="begin"/>
      </w:r>
      <w:r>
        <w:rPr>
          <w:noProof/>
        </w:rPr>
        <w:instrText xml:space="preserve"> PAGEREF _Toc322942133 \h </w:instrText>
      </w:r>
      <w:r w:rsidR="002559BD">
        <w:rPr>
          <w:noProof/>
        </w:rPr>
      </w:r>
      <w:r>
        <w:rPr>
          <w:noProof/>
        </w:rPr>
        <w:fldChar w:fldCharType="separate"/>
      </w:r>
      <w:r>
        <w:rPr>
          <w:noProof/>
        </w:rPr>
        <w:t>17</w:t>
      </w:r>
      <w:r>
        <w:rPr>
          <w:noProof/>
        </w:rPr>
        <w:fldChar w:fldCharType="end"/>
      </w:r>
    </w:p>
    <w:p w:rsidR="004B5BC0" w:rsidRDefault="004B5BC0">
      <w:pPr>
        <w:pStyle w:val="TOC2"/>
        <w:tabs>
          <w:tab w:val="left" w:pos="758"/>
          <w:tab w:val="right" w:leader="dot" w:pos="9350"/>
        </w:tabs>
        <w:rPr>
          <w:rFonts w:asciiTheme="minorHAnsi" w:eastAsiaTheme="minorEastAsia" w:hAnsiTheme="minorHAnsi" w:cstheme="minorBidi"/>
          <w:noProof/>
          <w:sz w:val="24"/>
        </w:rPr>
      </w:pPr>
      <w:r w:rsidRPr="00B34677">
        <w:rPr>
          <w:noProof/>
          <w:snapToGrid w:val="0"/>
        </w:rPr>
        <w:t>2.4</w:t>
      </w:r>
      <w:r>
        <w:rPr>
          <w:rFonts w:asciiTheme="minorHAnsi" w:eastAsiaTheme="minorEastAsia" w:hAnsiTheme="minorHAnsi" w:cstheme="minorBidi"/>
          <w:noProof/>
          <w:sz w:val="24"/>
        </w:rPr>
        <w:tab/>
      </w:r>
      <w:r w:rsidRPr="00B34677">
        <w:rPr>
          <w:noProof/>
          <w:snapToGrid w:val="0"/>
        </w:rPr>
        <w:t>Categories of Observing Programs</w:t>
      </w:r>
      <w:r>
        <w:rPr>
          <w:noProof/>
        </w:rPr>
        <w:tab/>
      </w:r>
      <w:r>
        <w:rPr>
          <w:noProof/>
        </w:rPr>
        <w:fldChar w:fldCharType="begin"/>
      </w:r>
      <w:r>
        <w:rPr>
          <w:noProof/>
        </w:rPr>
        <w:instrText xml:space="preserve"> PAGEREF _Toc322942134 \h </w:instrText>
      </w:r>
      <w:r w:rsidR="002559BD">
        <w:rPr>
          <w:noProof/>
        </w:rPr>
      </w:r>
      <w:r>
        <w:rPr>
          <w:noProof/>
        </w:rPr>
        <w:fldChar w:fldCharType="separate"/>
      </w:r>
      <w:r>
        <w:rPr>
          <w:noProof/>
        </w:rPr>
        <w:t>18</w:t>
      </w:r>
      <w:r>
        <w:rPr>
          <w:noProof/>
        </w:rPr>
        <w:fldChar w:fldCharType="end"/>
      </w:r>
    </w:p>
    <w:p w:rsidR="004B5BC0" w:rsidRDefault="004B5BC0">
      <w:pPr>
        <w:pStyle w:val="TOC3"/>
        <w:tabs>
          <w:tab w:val="left" w:pos="1165"/>
          <w:tab w:val="right" w:leader="dot" w:pos="9350"/>
        </w:tabs>
        <w:rPr>
          <w:rFonts w:asciiTheme="minorHAnsi" w:eastAsiaTheme="minorEastAsia" w:hAnsiTheme="minorHAnsi" w:cstheme="minorBidi"/>
          <w:noProof/>
          <w:sz w:val="24"/>
        </w:rPr>
      </w:pPr>
      <w:r w:rsidRPr="00B34677">
        <w:rPr>
          <w:noProof/>
          <w:snapToGrid w:val="0"/>
        </w:rPr>
        <w:t>2.4.1</w:t>
      </w:r>
      <w:r>
        <w:rPr>
          <w:rFonts w:asciiTheme="minorHAnsi" w:eastAsiaTheme="minorEastAsia" w:hAnsiTheme="minorHAnsi" w:cstheme="minorBidi"/>
          <w:noProof/>
          <w:sz w:val="24"/>
        </w:rPr>
        <w:tab/>
      </w:r>
      <w:r w:rsidRPr="00B34677">
        <w:rPr>
          <w:noProof/>
          <w:snapToGrid w:val="0"/>
        </w:rPr>
        <w:t>Planetary Transit Search</w:t>
      </w:r>
      <w:r>
        <w:rPr>
          <w:noProof/>
        </w:rPr>
        <w:tab/>
      </w:r>
      <w:r>
        <w:rPr>
          <w:noProof/>
        </w:rPr>
        <w:fldChar w:fldCharType="begin"/>
      </w:r>
      <w:r>
        <w:rPr>
          <w:noProof/>
        </w:rPr>
        <w:instrText xml:space="preserve"> PAGEREF _Toc322942135 \h </w:instrText>
      </w:r>
      <w:r w:rsidR="002559BD">
        <w:rPr>
          <w:noProof/>
        </w:rPr>
      </w:r>
      <w:r>
        <w:rPr>
          <w:noProof/>
        </w:rPr>
        <w:fldChar w:fldCharType="separate"/>
      </w:r>
      <w:r>
        <w:rPr>
          <w:noProof/>
        </w:rPr>
        <w:t>18</w:t>
      </w:r>
      <w:r>
        <w:rPr>
          <w:noProof/>
        </w:rPr>
        <w:fldChar w:fldCharType="end"/>
      </w:r>
    </w:p>
    <w:p w:rsidR="004B5BC0" w:rsidRDefault="004B5BC0">
      <w:pPr>
        <w:pStyle w:val="TOC3"/>
        <w:tabs>
          <w:tab w:val="left" w:pos="1165"/>
          <w:tab w:val="right" w:leader="dot" w:pos="9350"/>
        </w:tabs>
        <w:rPr>
          <w:rFonts w:asciiTheme="minorHAnsi" w:eastAsiaTheme="minorEastAsia" w:hAnsiTheme="minorHAnsi" w:cstheme="minorBidi"/>
          <w:noProof/>
          <w:sz w:val="24"/>
        </w:rPr>
      </w:pPr>
      <w:r w:rsidRPr="00B34677">
        <w:rPr>
          <w:noProof/>
          <w:snapToGrid w:val="0"/>
        </w:rPr>
        <w:t>2.4.2</w:t>
      </w:r>
      <w:r>
        <w:rPr>
          <w:rFonts w:asciiTheme="minorHAnsi" w:eastAsiaTheme="minorEastAsia" w:hAnsiTheme="minorHAnsi" w:cstheme="minorBidi"/>
          <w:noProof/>
          <w:sz w:val="24"/>
        </w:rPr>
        <w:tab/>
      </w:r>
      <w:r w:rsidRPr="00B34677">
        <w:rPr>
          <w:noProof/>
          <w:snapToGrid w:val="0"/>
        </w:rPr>
        <w:t>Characterization of Transiting Systems</w:t>
      </w:r>
      <w:r>
        <w:rPr>
          <w:noProof/>
        </w:rPr>
        <w:tab/>
      </w:r>
      <w:r>
        <w:rPr>
          <w:noProof/>
        </w:rPr>
        <w:fldChar w:fldCharType="begin"/>
      </w:r>
      <w:r>
        <w:rPr>
          <w:noProof/>
        </w:rPr>
        <w:instrText xml:space="preserve"> PAGEREF _Toc322942136 \h </w:instrText>
      </w:r>
      <w:r w:rsidR="002559BD">
        <w:rPr>
          <w:noProof/>
        </w:rPr>
      </w:r>
      <w:r>
        <w:rPr>
          <w:noProof/>
        </w:rPr>
        <w:fldChar w:fldCharType="separate"/>
      </w:r>
      <w:r>
        <w:rPr>
          <w:noProof/>
        </w:rPr>
        <w:t>18</w:t>
      </w:r>
      <w:r>
        <w:rPr>
          <w:noProof/>
        </w:rPr>
        <w:fldChar w:fldCharType="end"/>
      </w:r>
    </w:p>
    <w:p w:rsidR="004B5BC0" w:rsidRDefault="004B5BC0">
      <w:pPr>
        <w:pStyle w:val="TOC3"/>
        <w:tabs>
          <w:tab w:val="left" w:pos="1165"/>
          <w:tab w:val="right" w:leader="dot" w:pos="9350"/>
        </w:tabs>
        <w:rPr>
          <w:rFonts w:asciiTheme="minorHAnsi" w:eastAsiaTheme="minorEastAsia" w:hAnsiTheme="minorHAnsi" w:cstheme="minorBidi"/>
          <w:noProof/>
          <w:sz w:val="24"/>
        </w:rPr>
      </w:pPr>
      <w:r w:rsidRPr="00B34677">
        <w:rPr>
          <w:noProof/>
          <w:snapToGrid w:val="0"/>
        </w:rPr>
        <w:t>2.4.3</w:t>
      </w:r>
      <w:r>
        <w:rPr>
          <w:rFonts w:asciiTheme="minorHAnsi" w:eastAsiaTheme="minorEastAsia" w:hAnsiTheme="minorHAnsi" w:cstheme="minorBidi"/>
          <w:noProof/>
          <w:sz w:val="24"/>
        </w:rPr>
        <w:tab/>
      </w:r>
      <w:r w:rsidRPr="00B34677">
        <w:rPr>
          <w:noProof/>
          <w:snapToGrid w:val="0"/>
        </w:rPr>
        <w:t>Guest Observers</w:t>
      </w:r>
      <w:r>
        <w:rPr>
          <w:noProof/>
        </w:rPr>
        <w:tab/>
      </w:r>
      <w:r>
        <w:rPr>
          <w:noProof/>
        </w:rPr>
        <w:fldChar w:fldCharType="begin"/>
      </w:r>
      <w:r>
        <w:rPr>
          <w:noProof/>
        </w:rPr>
        <w:instrText xml:space="preserve"> PAGEREF _Toc322942137 \h </w:instrText>
      </w:r>
      <w:r w:rsidR="002559BD">
        <w:rPr>
          <w:noProof/>
        </w:rPr>
      </w:r>
      <w:r>
        <w:rPr>
          <w:noProof/>
        </w:rPr>
        <w:fldChar w:fldCharType="separate"/>
      </w:r>
      <w:r>
        <w:rPr>
          <w:noProof/>
        </w:rPr>
        <w:t>18</w:t>
      </w:r>
      <w:r>
        <w:rPr>
          <w:noProof/>
        </w:rPr>
        <w:fldChar w:fldCharType="end"/>
      </w:r>
    </w:p>
    <w:p w:rsidR="004B5BC0" w:rsidRDefault="004B5BC0">
      <w:pPr>
        <w:pStyle w:val="TOC2"/>
        <w:tabs>
          <w:tab w:val="left" w:pos="758"/>
          <w:tab w:val="right" w:leader="dot" w:pos="9350"/>
        </w:tabs>
        <w:rPr>
          <w:rFonts w:asciiTheme="minorHAnsi" w:eastAsiaTheme="minorEastAsia" w:hAnsiTheme="minorHAnsi" w:cstheme="minorBidi"/>
          <w:noProof/>
          <w:sz w:val="24"/>
        </w:rPr>
      </w:pPr>
      <w:r>
        <w:rPr>
          <w:noProof/>
        </w:rPr>
        <w:t>2.5</w:t>
      </w:r>
      <w:r>
        <w:rPr>
          <w:rFonts w:asciiTheme="minorHAnsi" w:eastAsiaTheme="minorEastAsia" w:hAnsiTheme="minorHAnsi" w:cstheme="minorBidi"/>
          <w:noProof/>
          <w:sz w:val="24"/>
        </w:rPr>
        <w:tab/>
      </w:r>
      <w:r>
        <w:rPr>
          <w:noProof/>
        </w:rPr>
        <w:t>Flight System Elements</w:t>
      </w:r>
      <w:r>
        <w:rPr>
          <w:noProof/>
        </w:rPr>
        <w:tab/>
      </w:r>
      <w:r>
        <w:rPr>
          <w:noProof/>
        </w:rPr>
        <w:fldChar w:fldCharType="begin"/>
      </w:r>
      <w:r>
        <w:rPr>
          <w:noProof/>
        </w:rPr>
        <w:instrText xml:space="preserve"> PAGEREF _Toc322942138 \h </w:instrText>
      </w:r>
      <w:r w:rsidR="002559BD">
        <w:rPr>
          <w:noProof/>
        </w:rPr>
      </w:r>
      <w:r>
        <w:rPr>
          <w:noProof/>
        </w:rPr>
        <w:fldChar w:fldCharType="separate"/>
      </w:r>
      <w:r>
        <w:rPr>
          <w:noProof/>
        </w:rPr>
        <w:t>18</w:t>
      </w:r>
      <w:r>
        <w:rPr>
          <w:noProof/>
        </w:rPr>
        <w:fldChar w:fldCharType="end"/>
      </w:r>
    </w:p>
    <w:p w:rsidR="004B5BC0" w:rsidRDefault="004B5BC0">
      <w:pPr>
        <w:pStyle w:val="TOC3"/>
        <w:tabs>
          <w:tab w:val="left" w:pos="1165"/>
          <w:tab w:val="right" w:leader="dot" w:pos="9350"/>
        </w:tabs>
        <w:rPr>
          <w:rFonts w:asciiTheme="minorHAnsi" w:eastAsiaTheme="minorEastAsia" w:hAnsiTheme="minorHAnsi" w:cstheme="minorBidi"/>
          <w:noProof/>
          <w:sz w:val="24"/>
        </w:rPr>
      </w:pPr>
      <w:r>
        <w:rPr>
          <w:noProof/>
        </w:rPr>
        <w:t>2.5.1</w:t>
      </w:r>
      <w:r>
        <w:rPr>
          <w:rFonts w:asciiTheme="minorHAnsi" w:eastAsiaTheme="minorEastAsia" w:hAnsiTheme="minorHAnsi" w:cstheme="minorBidi"/>
          <w:noProof/>
          <w:sz w:val="24"/>
        </w:rPr>
        <w:tab/>
      </w:r>
      <w:r>
        <w:rPr>
          <w:noProof/>
        </w:rPr>
        <w:t>Spacecraft</w:t>
      </w:r>
      <w:r>
        <w:rPr>
          <w:noProof/>
        </w:rPr>
        <w:tab/>
      </w:r>
      <w:r>
        <w:rPr>
          <w:noProof/>
        </w:rPr>
        <w:fldChar w:fldCharType="begin"/>
      </w:r>
      <w:r>
        <w:rPr>
          <w:noProof/>
        </w:rPr>
        <w:instrText xml:space="preserve"> PAGEREF _Toc322942139 \h </w:instrText>
      </w:r>
      <w:r w:rsidR="002559BD">
        <w:rPr>
          <w:noProof/>
        </w:rPr>
      </w:r>
      <w:r>
        <w:rPr>
          <w:noProof/>
        </w:rPr>
        <w:fldChar w:fldCharType="separate"/>
      </w:r>
      <w:r>
        <w:rPr>
          <w:noProof/>
        </w:rPr>
        <w:t>19</w:t>
      </w:r>
      <w:r>
        <w:rPr>
          <w:noProof/>
        </w:rPr>
        <w:fldChar w:fldCharType="end"/>
      </w:r>
    </w:p>
    <w:p w:rsidR="004B5BC0" w:rsidRDefault="004B5BC0">
      <w:pPr>
        <w:pStyle w:val="TOC3"/>
        <w:tabs>
          <w:tab w:val="left" w:pos="1165"/>
          <w:tab w:val="right" w:leader="dot" w:pos="9350"/>
        </w:tabs>
        <w:rPr>
          <w:rFonts w:asciiTheme="minorHAnsi" w:eastAsiaTheme="minorEastAsia" w:hAnsiTheme="minorHAnsi" w:cstheme="minorBidi"/>
          <w:noProof/>
          <w:sz w:val="24"/>
        </w:rPr>
      </w:pPr>
      <w:r>
        <w:rPr>
          <w:noProof/>
        </w:rPr>
        <w:t>2.5.2</w:t>
      </w:r>
      <w:r>
        <w:rPr>
          <w:rFonts w:asciiTheme="minorHAnsi" w:eastAsiaTheme="minorEastAsia" w:hAnsiTheme="minorHAnsi" w:cstheme="minorBidi"/>
          <w:noProof/>
          <w:sz w:val="24"/>
        </w:rPr>
        <w:tab/>
      </w:r>
      <w:r>
        <w:rPr>
          <w:noProof/>
        </w:rPr>
        <w:t>Photometer</w:t>
      </w:r>
      <w:r>
        <w:rPr>
          <w:noProof/>
        </w:rPr>
        <w:tab/>
      </w:r>
      <w:r>
        <w:rPr>
          <w:noProof/>
        </w:rPr>
        <w:fldChar w:fldCharType="begin"/>
      </w:r>
      <w:r>
        <w:rPr>
          <w:noProof/>
        </w:rPr>
        <w:instrText xml:space="preserve"> PAGEREF _Toc322942140 \h </w:instrText>
      </w:r>
      <w:r w:rsidR="002559BD">
        <w:rPr>
          <w:noProof/>
        </w:rPr>
      </w:r>
      <w:r>
        <w:rPr>
          <w:noProof/>
        </w:rPr>
        <w:fldChar w:fldCharType="separate"/>
      </w:r>
      <w:r>
        <w:rPr>
          <w:noProof/>
        </w:rPr>
        <w:t>20</w:t>
      </w:r>
      <w:r>
        <w:rPr>
          <w:noProof/>
        </w:rPr>
        <w:fldChar w:fldCharType="end"/>
      </w:r>
    </w:p>
    <w:p w:rsidR="004B5BC0" w:rsidRDefault="004B5BC0">
      <w:pPr>
        <w:pStyle w:val="TOC3"/>
        <w:tabs>
          <w:tab w:val="left" w:pos="1165"/>
          <w:tab w:val="right" w:leader="dot" w:pos="9350"/>
        </w:tabs>
        <w:rPr>
          <w:rFonts w:asciiTheme="minorHAnsi" w:eastAsiaTheme="minorEastAsia" w:hAnsiTheme="minorHAnsi" w:cstheme="minorBidi"/>
          <w:noProof/>
          <w:sz w:val="24"/>
        </w:rPr>
      </w:pPr>
      <w:r>
        <w:rPr>
          <w:noProof/>
        </w:rPr>
        <w:t>2.5.3</w:t>
      </w:r>
      <w:r>
        <w:rPr>
          <w:rFonts w:asciiTheme="minorHAnsi" w:eastAsiaTheme="minorEastAsia" w:hAnsiTheme="minorHAnsi" w:cstheme="minorBidi"/>
          <w:noProof/>
          <w:sz w:val="24"/>
        </w:rPr>
        <w:tab/>
      </w:r>
      <w:r>
        <w:rPr>
          <w:noProof/>
        </w:rPr>
        <w:t>Telescope</w:t>
      </w:r>
      <w:r>
        <w:rPr>
          <w:noProof/>
        </w:rPr>
        <w:tab/>
      </w:r>
      <w:r>
        <w:rPr>
          <w:noProof/>
        </w:rPr>
        <w:fldChar w:fldCharType="begin"/>
      </w:r>
      <w:r>
        <w:rPr>
          <w:noProof/>
        </w:rPr>
        <w:instrText xml:space="preserve"> PAGEREF _Toc322942141 \h </w:instrText>
      </w:r>
      <w:r w:rsidR="002559BD">
        <w:rPr>
          <w:noProof/>
        </w:rPr>
      </w:r>
      <w:r>
        <w:rPr>
          <w:noProof/>
        </w:rPr>
        <w:fldChar w:fldCharType="separate"/>
      </w:r>
      <w:r>
        <w:rPr>
          <w:noProof/>
        </w:rPr>
        <w:t>20</w:t>
      </w:r>
      <w:r>
        <w:rPr>
          <w:noProof/>
        </w:rPr>
        <w:fldChar w:fldCharType="end"/>
      </w:r>
    </w:p>
    <w:p w:rsidR="004B5BC0" w:rsidRDefault="004B5BC0">
      <w:pPr>
        <w:pStyle w:val="TOC3"/>
        <w:tabs>
          <w:tab w:val="left" w:pos="1165"/>
          <w:tab w:val="right" w:leader="dot" w:pos="9350"/>
        </w:tabs>
        <w:rPr>
          <w:rFonts w:asciiTheme="minorHAnsi" w:eastAsiaTheme="minorEastAsia" w:hAnsiTheme="minorHAnsi" w:cstheme="minorBidi"/>
          <w:noProof/>
          <w:sz w:val="24"/>
        </w:rPr>
      </w:pPr>
      <w:r>
        <w:rPr>
          <w:noProof/>
        </w:rPr>
        <w:t>2.5.4</w:t>
      </w:r>
      <w:r>
        <w:rPr>
          <w:rFonts w:asciiTheme="minorHAnsi" w:eastAsiaTheme="minorEastAsia" w:hAnsiTheme="minorHAnsi" w:cstheme="minorBidi"/>
          <w:noProof/>
          <w:sz w:val="24"/>
        </w:rPr>
        <w:tab/>
      </w:r>
      <w:r>
        <w:rPr>
          <w:noProof/>
        </w:rPr>
        <w:t>FPAA</w:t>
      </w:r>
      <w:r>
        <w:rPr>
          <w:noProof/>
        </w:rPr>
        <w:tab/>
      </w:r>
      <w:r>
        <w:rPr>
          <w:noProof/>
        </w:rPr>
        <w:fldChar w:fldCharType="begin"/>
      </w:r>
      <w:r>
        <w:rPr>
          <w:noProof/>
        </w:rPr>
        <w:instrText xml:space="preserve"> PAGEREF _Toc322942142 \h </w:instrText>
      </w:r>
      <w:r w:rsidR="002559BD">
        <w:rPr>
          <w:noProof/>
        </w:rPr>
      </w:r>
      <w:r>
        <w:rPr>
          <w:noProof/>
        </w:rPr>
        <w:fldChar w:fldCharType="separate"/>
      </w:r>
      <w:r>
        <w:rPr>
          <w:noProof/>
        </w:rPr>
        <w:t>20</w:t>
      </w:r>
      <w:r>
        <w:rPr>
          <w:noProof/>
        </w:rPr>
        <w:fldChar w:fldCharType="end"/>
      </w:r>
    </w:p>
    <w:p w:rsidR="004B5BC0" w:rsidRDefault="004B5BC0">
      <w:pPr>
        <w:pStyle w:val="TOC3"/>
        <w:tabs>
          <w:tab w:val="left" w:pos="1165"/>
          <w:tab w:val="right" w:leader="dot" w:pos="9350"/>
        </w:tabs>
        <w:rPr>
          <w:rFonts w:asciiTheme="minorHAnsi" w:eastAsiaTheme="minorEastAsia" w:hAnsiTheme="minorHAnsi" w:cstheme="minorBidi"/>
          <w:noProof/>
          <w:sz w:val="24"/>
        </w:rPr>
      </w:pPr>
      <w:r>
        <w:rPr>
          <w:noProof/>
        </w:rPr>
        <w:t>2.5.5</w:t>
      </w:r>
      <w:r>
        <w:rPr>
          <w:rFonts w:asciiTheme="minorHAnsi" w:eastAsiaTheme="minorEastAsia" w:hAnsiTheme="minorHAnsi" w:cstheme="minorBidi"/>
          <w:noProof/>
          <w:sz w:val="24"/>
        </w:rPr>
        <w:tab/>
      </w:r>
      <w:r>
        <w:rPr>
          <w:noProof/>
        </w:rPr>
        <w:t>Engineering Telemetry</w:t>
      </w:r>
      <w:r>
        <w:rPr>
          <w:noProof/>
        </w:rPr>
        <w:tab/>
      </w:r>
      <w:r>
        <w:rPr>
          <w:noProof/>
        </w:rPr>
        <w:fldChar w:fldCharType="begin"/>
      </w:r>
      <w:r>
        <w:rPr>
          <w:noProof/>
        </w:rPr>
        <w:instrText xml:space="preserve"> PAGEREF _Toc322942143 \h </w:instrText>
      </w:r>
      <w:r w:rsidR="002559BD">
        <w:rPr>
          <w:noProof/>
        </w:rPr>
      </w:r>
      <w:r>
        <w:rPr>
          <w:noProof/>
        </w:rPr>
        <w:fldChar w:fldCharType="separate"/>
      </w:r>
      <w:r>
        <w:rPr>
          <w:noProof/>
        </w:rPr>
        <w:t>21</w:t>
      </w:r>
      <w:r>
        <w:rPr>
          <w:noProof/>
        </w:rPr>
        <w:fldChar w:fldCharType="end"/>
      </w:r>
    </w:p>
    <w:p w:rsidR="004B5BC0" w:rsidRDefault="004B5BC0">
      <w:pPr>
        <w:pStyle w:val="TOC2"/>
        <w:tabs>
          <w:tab w:val="left" w:pos="758"/>
          <w:tab w:val="right" w:leader="dot" w:pos="9350"/>
        </w:tabs>
        <w:rPr>
          <w:rFonts w:asciiTheme="minorHAnsi" w:eastAsiaTheme="minorEastAsia" w:hAnsiTheme="minorHAnsi" w:cstheme="minorBidi"/>
          <w:noProof/>
          <w:sz w:val="24"/>
        </w:rPr>
      </w:pPr>
      <w:r>
        <w:rPr>
          <w:noProof/>
        </w:rPr>
        <w:t>2.6</w:t>
      </w:r>
      <w:r>
        <w:rPr>
          <w:rFonts w:asciiTheme="minorHAnsi" w:eastAsiaTheme="minorEastAsia" w:hAnsiTheme="minorHAnsi" w:cstheme="minorBidi"/>
          <w:noProof/>
          <w:sz w:val="24"/>
        </w:rPr>
        <w:tab/>
      </w:r>
      <w:r>
        <w:rPr>
          <w:noProof/>
        </w:rPr>
        <w:t>Pixels of Interest</w:t>
      </w:r>
      <w:r>
        <w:rPr>
          <w:noProof/>
        </w:rPr>
        <w:tab/>
      </w:r>
      <w:r>
        <w:rPr>
          <w:noProof/>
        </w:rPr>
        <w:fldChar w:fldCharType="begin"/>
      </w:r>
      <w:r>
        <w:rPr>
          <w:noProof/>
        </w:rPr>
        <w:instrText xml:space="preserve"> PAGEREF _Toc322942144 \h </w:instrText>
      </w:r>
      <w:r w:rsidR="002559BD">
        <w:rPr>
          <w:noProof/>
        </w:rPr>
      </w:r>
      <w:r>
        <w:rPr>
          <w:noProof/>
        </w:rPr>
        <w:fldChar w:fldCharType="separate"/>
      </w:r>
      <w:r>
        <w:rPr>
          <w:noProof/>
        </w:rPr>
        <w:t>22</w:t>
      </w:r>
      <w:r>
        <w:rPr>
          <w:noProof/>
        </w:rPr>
        <w:fldChar w:fldCharType="end"/>
      </w:r>
    </w:p>
    <w:p w:rsidR="004B5BC0" w:rsidRDefault="004B5BC0">
      <w:pPr>
        <w:pStyle w:val="TOC3"/>
        <w:tabs>
          <w:tab w:val="left" w:pos="1165"/>
          <w:tab w:val="right" w:leader="dot" w:pos="9350"/>
        </w:tabs>
        <w:rPr>
          <w:rFonts w:asciiTheme="minorHAnsi" w:eastAsiaTheme="minorEastAsia" w:hAnsiTheme="minorHAnsi" w:cstheme="minorBidi"/>
          <w:noProof/>
          <w:sz w:val="24"/>
        </w:rPr>
      </w:pPr>
      <w:r>
        <w:rPr>
          <w:noProof/>
        </w:rPr>
        <w:t>2.6.1</w:t>
      </w:r>
      <w:r>
        <w:rPr>
          <w:rFonts w:asciiTheme="minorHAnsi" w:eastAsiaTheme="minorEastAsia" w:hAnsiTheme="minorHAnsi" w:cstheme="minorBidi"/>
          <w:noProof/>
          <w:sz w:val="24"/>
        </w:rPr>
        <w:tab/>
      </w:r>
      <w:r>
        <w:rPr>
          <w:noProof/>
        </w:rPr>
        <w:t>Targets and Apertures</w:t>
      </w:r>
      <w:r>
        <w:rPr>
          <w:noProof/>
        </w:rPr>
        <w:tab/>
      </w:r>
      <w:r>
        <w:rPr>
          <w:noProof/>
        </w:rPr>
        <w:fldChar w:fldCharType="begin"/>
      </w:r>
      <w:r>
        <w:rPr>
          <w:noProof/>
        </w:rPr>
        <w:instrText xml:space="preserve"> PAGEREF _Toc322942145 \h </w:instrText>
      </w:r>
      <w:r w:rsidR="002559BD">
        <w:rPr>
          <w:noProof/>
        </w:rPr>
      </w:r>
      <w:r>
        <w:rPr>
          <w:noProof/>
        </w:rPr>
        <w:fldChar w:fldCharType="separate"/>
      </w:r>
      <w:r>
        <w:rPr>
          <w:noProof/>
        </w:rPr>
        <w:t>22</w:t>
      </w:r>
      <w:r>
        <w:rPr>
          <w:noProof/>
        </w:rPr>
        <w:fldChar w:fldCharType="end"/>
      </w:r>
    </w:p>
    <w:p w:rsidR="004B5BC0" w:rsidRDefault="004B5BC0">
      <w:pPr>
        <w:pStyle w:val="TOC3"/>
        <w:tabs>
          <w:tab w:val="left" w:pos="1165"/>
          <w:tab w:val="right" w:leader="dot" w:pos="9350"/>
        </w:tabs>
        <w:rPr>
          <w:rFonts w:asciiTheme="minorHAnsi" w:eastAsiaTheme="minorEastAsia" w:hAnsiTheme="minorHAnsi" w:cstheme="minorBidi"/>
          <w:noProof/>
          <w:sz w:val="24"/>
        </w:rPr>
      </w:pPr>
      <w:r>
        <w:rPr>
          <w:noProof/>
        </w:rPr>
        <w:t>2.6.2</w:t>
      </w:r>
      <w:r>
        <w:rPr>
          <w:rFonts w:asciiTheme="minorHAnsi" w:eastAsiaTheme="minorEastAsia" w:hAnsiTheme="minorHAnsi" w:cstheme="minorBidi"/>
          <w:noProof/>
          <w:sz w:val="24"/>
        </w:rPr>
        <w:tab/>
      </w:r>
      <w:r>
        <w:rPr>
          <w:noProof/>
        </w:rPr>
        <w:t>Kinds of Targets</w:t>
      </w:r>
      <w:r>
        <w:rPr>
          <w:noProof/>
        </w:rPr>
        <w:tab/>
      </w:r>
      <w:r>
        <w:rPr>
          <w:noProof/>
        </w:rPr>
        <w:fldChar w:fldCharType="begin"/>
      </w:r>
      <w:r>
        <w:rPr>
          <w:noProof/>
        </w:rPr>
        <w:instrText xml:space="preserve"> PAGEREF _Toc322942146 \h </w:instrText>
      </w:r>
      <w:r w:rsidR="002559BD">
        <w:rPr>
          <w:noProof/>
        </w:rPr>
      </w:r>
      <w:r>
        <w:rPr>
          <w:noProof/>
        </w:rPr>
        <w:fldChar w:fldCharType="separate"/>
      </w:r>
      <w:r>
        <w:rPr>
          <w:noProof/>
        </w:rPr>
        <w:t>22</w:t>
      </w:r>
      <w:r>
        <w:rPr>
          <w:noProof/>
        </w:rPr>
        <w:fldChar w:fldCharType="end"/>
      </w:r>
    </w:p>
    <w:p w:rsidR="004B5BC0" w:rsidRPr="004B5BC0" w:rsidRDefault="004B5BC0">
      <w:pPr>
        <w:pStyle w:val="TOC4"/>
        <w:tabs>
          <w:tab w:val="left" w:pos="1572"/>
          <w:tab w:val="right" w:leader="dot" w:pos="9350"/>
        </w:tabs>
        <w:rPr>
          <w:rFonts w:asciiTheme="minorHAnsi" w:eastAsiaTheme="minorEastAsia" w:hAnsiTheme="minorHAnsi" w:cstheme="minorBidi"/>
          <w:noProof/>
          <w:sz w:val="24"/>
        </w:rPr>
      </w:pPr>
      <w:r w:rsidRPr="004B5BC0">
        <w:rPr>
          <w:noProof/>
        </w:rPr>
        <w:t>2.6.2.1</w:t>
      </w:r>
      <w:r w:rsidRPr="004B5BC0">
        <w:rPr>
          <w:rFonts w:asciiTheme="minorHAnsi" w:eastAsiaTheme="minorEastAsia" w:hAnsiTheme="minorHAnsi" w:cstheme="minorBidi"/>
          <w:noProof/>
          <w:sz w:val="24"/>
        </w:rPr>
        <w:tab/>
      </w:r>
      <w:r w:rsidRPr="004B5BC0">
        <w:rPr>
          <w:noProof/>
        </w:rPr>
        <w:t>Long Cadence</w:t>
      </w:r>
      <w:r w:rsidRPr="004B5BC0">
        <w:rPr>
          <w:noProof/>
        </w:rPr>
        <w:tab/>
      </w:r>
      <w:r w:rsidRPr="004B5BC0">
        <w:rPr>
          <w:noProof/>
        </w:rPr>
        <w:fldChar w:fldCharType="begin"/>
      </w:r>
      <w:r w:rsidRPr="004B5BC0">
        <w:rPr>
          <w:noProof/>
        </w:rPr>
        <w:instrText xml:space="preserve"> PAGEREF _Toc322942147 \h </w:instrText>
      </w:r>
      <w:r w:rsidR="002559BD" w:rsidRPr="004B5BC0">
        <w:rPr>
          <w:noProof/>
        </w:rPr>
      </w:r>
      <w:r w:rsidRPr="004B5BC0">
        <w:rPr>
          <w:noProof/>
        </w:rPr>
        <w:fldChar w:fldCharType="separate"/>
      </w:r>
      <w:r w:rsidRPr="004B5BC0">
        <w:rPr>
          <w:noProof/>
        </w:rPr>
        <w:t>22</w:t>
      </w:r>
      <w:r w:rsidRPr="004B5BC0">
        <w:rPr>
          <w:noProof/>
        </w:rPr>
        <w:fldChar w:fldCharType="end"/>
      </w:r>
    </w:p>
    <w:p w:rsidR="004B5BC0" w:rsidRPr="004B5BC0" w:rsidRDefault="004B5BC0">
      <w:pPr>
        <w:pStyle w:val="TOC4"/>
        <w:tabs>
          <w:tab w:val="left" w:pos="1572"/>
          <w:tab w:val="right" w:leader="dot" w:pos="9350"/>
        </w:tabs>
        <w:rPr>
          <w:rFonts w:asciiTheme="minorHAnsi" w:eastAsiaTheme="minorEastAsia" w:hAnsiTheme="minorHAnsi" w:cstheme="minorBidi"/>
          <w:noProof/>
          <w:sz w:val="24"/>
        </w:rPr>
      </w:pPr>
      <w:r w:rsidRPr="004B5BC0">
        <w:rPr>
          <w:noProof/>
        </w:rPr>
        <w:t>2.6.2.2</w:t>
      </w:r>
      <w:r w:rsidRPr="004B5BC0">
        <w:rPr>
          <w:rFonts w:asciiTheme="minorHAnsi" w:eastAsiaTheme="minorEastAsia" w:hAnsiTheme="minorHAnsi" w:cstheme="minorBidi"/>
          <w:noProof/>
          <w:sz w:val="24"/>
        </w:rPr>
        <w:tab/>
      </w:r>
      <w:r w:rsidRPr="004B5BC0">
        <w:rPr>
          <w:noProof/>
        </w:rPr>
        <w:t>Short Cadence</w:t>
      </w:r>
      <w:r w:rsidRPr="004B5BC0">
        <w:rPr>
          <w:noProof/>
        </w:rPr>
        <w:tab/>
      </w:r>
      <w:r w:rsidRPr="004B5BC0">
        <w:rPr>
          <w:noProof/>
        </w:rPr>
        <w:fldChar w:fldCharType="begin"/>
      </w:r>
      <w:r w:rsidRPr="004B5BC0">
        <w:rPr>
          <w:noProof/>
        </w:rPr>
        <w:instrText xml:space="preserve"> PAGEREF _Toc322942148 \h </w:instrText>
      </w:r>
      <w:r w:rsidR="002559BD" w:rsidRPr="004B5BC0">
        <w:rPr>
          <w:noProof/>
        </w:rPr>
      </w:r>
      <w:r w:rsidRPr="004B5BC0">
        <w:rPr>
          <w:noProof/>
        </w:rPr>
        <w:fldChar w:fldCharType="separate"/>
      </w:r>
      <w:r w:rsidRPr="004B5BC0">
        <w:rPr>
          <w:noProof/>
        </w:rPr>
        <w:t>23</w:t>
      </w:r>
      <w:r w:rsidRPr="004B5BC0">
        <w:rPr>
          <w:noProof/>
        </w:rPr>
        <w:fldChar w:fldCharType="end"/>
      </w:r>
    </w:p>
    <w:p w:rsidR="004B5BC0" w:rsidRPr="004B5BC0" w:rsidRDefault="004B5BC0">
      <w:pPr>
        <w:pStyle w:val="TOC4"/>
        <w:tabs>
          <w:tab w:val="left" w:pos="1572"/>
          <w:tab w:val="right" w:leader="dot" w:pos="9350"/>
        </w:tabs>
        <w:rPr>
          <w:rFonts w:asciiTheme="minorHAnsi" w:eastAsiaTheme="minorEastAsia" w:hAnsiTheme="minorHAnsi" w:cstheme="minorBidi"/>
          <w:noProof/>
          <w:sz w:val="24"/>
        </w:rPr>
      </w:pPr>
      <w:r w:rsidRPr="004B5BC0">
        <w:rPr>
          <w:noProof/>
        </w:rPr>
        <w:t>2.6.2.3</w:t>
      </w:r>
      <w:r w:rsidRPr="004B5BC0">
        <w:rPr>
          <w:rFonts w:asciiTheme="minorHAnsi" w:eastAsiaTheme="minorEastAsia" w:hAnsiTheme="minorHAnsi" w:cstheme="minorBidi"/>
          <w:noProof/>
          <w:sz w:val="24"/>
        </w:rPr>
        <w:tab/>
      </w:r>
      <w:r w:rsidRPr="004B5BC0">
        <w:rPr>
          <w:noProof/>
        </w:rPr>
        <w:t>Reference</w:t>
      </w:r>
      <w:r w:rsidRPr="004B5BC0">
        <w:rPr>
          <w:noProof/>
        </w:rPr>
        <w:tab/>
      </w:r>
      <w:r w:rsidRPr="004B5BC0">
        <w:rPr>
          <w:noProof/>
        </w:rPr>
        <w:fldChar w:fldCharType="begin"/>
      </w:r>
      <w:r w:rsidRPr="004B5BC0">
        <w:rPr>
          <w:noProof/>
        </w:rPr>
        <w:instrText xml:space="preserve"> PAGEREF _Toc322942149 \h </w:instrText>
      </w:r>
      <w:r w:rsidR="002559BD" w:rsidRPr="004B5BC0">
        <w:rPr>
          <w:noProof/>
        </w:rPr>
      </w:r>
      <w:r w:rsidRPr="004B5BC0">
        <w:rPr>
          <w:noProof/>
        </w:rPr>
        <w:fldChar w:fldCharType="separate"/>
      </w:r>
      <w:r w:rsidRPr="004B5BC0">
        <w:rPr>
          <w:noProof/>
        </w:rPr>
        <w:t>23</w:t>
      </w:r>
      <w:r w:rsidRPr="004B5BC0">
        <w:rPr>
          <w:noProof/>
        </w:rPr>
        <w:fldChar w:fldCharType="end"/>
      </w:r>
    </w:p>
    <w:p w:rsidR="004B5BC0" w:rsidRPr="004B5BC0" w:rsidRDefault="004B5BC0">
      <w:pPr>
        <w:pStyle w:val="TOC4"/>
        <w:tabs>
          <w:tab w:val="left" w:pos="1572"/>
          <w:tab w:val="right" w:leader="dot" w:pos="9350"/>
        </w:tabs>
        <w:rPr>
          <w:rFonts w:asciiTheme="minorHAnsi" w:eastAsiaTheme="minorEastAsia" w:hAnsiTheme="minorHAnsi" w:cstheme="minorBidi"/>
          <w:noProof/>
          <w:sz w:val="24"/>
        </w:rPr>
      </w:pPr>
      <w:r w:rsidRPr="004B5BC0">
        <w:rPr>
          <w:noProof/>
        </w:rPr>
        <w:t>2.6.2.4</w:t>
      </w:r>
      <w:r w:rsidRPr="004B5BC0">
        <w:rPr>
          <w:rFonts w:asciiTheme="minorHAnsi" w:eastAsiaTheme="minorEastAsia" w:hAnsiTheme="minorHAnsi" w:cstheme="minorBidi"/>
          <w:noProof/>
          <w:sz w:val="24"/>
        </w:rPr>
        <w:tab/>
      </w:r>
      <w:r w:rsidRPr="004B5BC0">
        <w:rPr>
          <w:noProof/>
        </w:rPr>
        <w:t>Background</w:t>
      </w:r>
      <w:r w:rsidRPr="004B5BC0">
        <w:rPr>
          <w:noProof/>
        </w:rPr>
        <w:tab/>
      </w:r>
      <w:r w:rsidRPr="004B5BC0">
        <w:rPr>
          <w:noProof/>
        </w:rPr>
        <w:fldChar w:fldCharType="begin"/>
      </w:r>
      <w:r w:rsidRPr="004B5BC0">
        <w:rPr>
          <w:noProof/>
        </w:rPr>
        <w:instrText xml:space="preserve"> PAGEREF _Toc322942150 \h </w:instrText>
      </w:r>
      <w:r w:rsidR="002559BD" w:rsidRPr="004B5BC0">
        <w:rPr>
          <w:noProof/>
        </w:rPr>
      </w:r>
      <w:r w:rsidRPr="004B5BC0">
        <w:rPr>
          <w:noProof/>
        </w:rPr>
        <w:fldChar w:fldCharType="separate"/>
      </w:r>
      <w:r w:rsidRPr="004B5BC0">
        <w:rPr>
          <w:noProof/>
        </w:rPr>
        <w:t>23</w:t>
      </w:r>
      <w:r w:rsidRPr="004B5BC0">
        <w:rPr>
          <w:noProof/>
        </w:rPr>
        <w:fldChar w:fldCharType="end"/>
      </w:r>
    </w:p>
    <w:p w:rsidR="004B5BC0" w:rsidRDefault="004B5BC0">
      <w:pPr>
        <w:pStyle w:val="TOC3"/>
        <w:tabs>
          <w:tab w:val="left" w:pos="1165"/>
          <w:tab w:val="right" w:leader="dot" w:pos="9350"/>
        </w:tabs>
        <w:rPr>
          <w:rFonts w:asciiTheme="minorHAnsi" w:eastAsiaTheme="minorEastAsia" w:hAnsiTheme="minorHAnsi" w:cstheme="minorBidi"/>
          <w:noProof/>
          <w:sz w:val="24"/>
        </w:rPr>
      </w:pPr>
      <w:r>
        <w:rPr>
          <w:noProof/>
        </w:rPr>
        <w:t>2.6.3</w:t>
      </w:r>
      <w:r>
        <w:rPr>
          <w:rFonts w:asciiTheme="minorHAnsi" w:eastAsiaTheme="minorEastAsia" w:hAnsiTheme="minorHAnsi" w:cstheme="minorBidi"/>
          <w:noProof/>
          <w:sz w:val="24"/>
        </w:rPr>
        <w:tab/>
      </w:r>
      <w:r>
        <w:rPr>
          <w:noProof/>
        </w:rPr>
        <w:t>Collateral Data</w:t>
      </w:r>
      <w:r>
        <w:rPr>
          <w:noProof/>
        </w:rPr>
        <w:tab/>
      </w:r>
      <w:r>
        <w:rPr>
          <w:noProof/>
        </w:rPr>
        <w:fldChar w:fldCharType="begin"/>
      </w:r>
      <w:r>
        <w:rPr>
          <w:noProof/>
        </w:rPr>
        <w:instrText xml:space="preserve"> PAGEREF _Toc322942151 \h </w:instrText>
      </w:r>
      <w:r w:rsidR="002559BD">
        <w:rPr>
          <w:noProof/>
        </w:rPr>
      </w:r>
      <w:r>
        <w:rPr>
          <w:noProof/>
        </w:rPr>
        <w:fldChar w:fldCharType="separate"/>
      </w:r>
      <w:r>
        <w:rPr>
          <w:noProof/>
        </w:rPr>
        <w:t>24</w:t>
      </w:r>
      <w:r>
        <w:rPr>
          <w:noProof/>
        </w:rPr>
        <w:fldChar w:fldCharType="end"/>
      </w:r>
    </w:p>
    <w:p w:rsidR="004B5BC0" w:rsidRPr="004B5BC0" w:rsidRDefault="004B5BC0">
      <w:pPr>
        <w:pStyle w:val="TOC4"/>
        <w:tabs>
          <w:tab w:val="left" w:pos="1572"/>
          <w:tab w:val="right" w:leader="dot" w:pos="9350"/>
        </w:tabs>
        <w:rPr>
          <w:rFonts w:asciiTheme="minorHAnsi" w:eastAsiaTheme="minorEastAsia" w:hAnsiTheme="minorHAnsi" w:cstheme="minorBidi"/>
          <w:noProof/>
          <w:sz w:val="24"/>
        </w:rPr>
      </w:pPr>
      <w:r w:rsidRPr="004B5BC0">
        <w:rPr>
          <w:noProof/>
        </w:rPr>
        <w:t>2.6.3.1</w:t>
      </w:r>
      <w:r w:rsidRPr="004B5BC0">
        <w:rPr>
          <w:rFonts w:asciiTheme="minorHAnsi" w:eastAsiaTheme="minorEastAsia" w:hAnsiTheme="minorHAnsi" w:cstheme="minorBidi"/>
          <w:noProof/>
          <w:sz w:val="24"/>
        </w:rPr>
        <w:tab/>
      </w:r>
      <w:r w:rsidRPr="004B5BC0">
        <w:rPr>
          <w:noProof/>
        </w:rPr>
        <w:t>Long Cadence</w:t>
      </w:r>
      <w:r w:rsidRPr="004B5BC0">
        <w:rPr>
          <w:noProof/>
        </w:rPr>
        <w:tab/>
      </w:r>
      <w:r w:rsidRPr="004B5BC0">
        <w:rPr>
          <w:noProof/>
        </w:rPr>
        <w:fldChar w:fldCharType="begin"/>
      </w:r>
      <w:r w:rsidRPr="004B5BC0">
        <w:rPr>
          <w:noProof/>
        </w:rPr>
        <w:instrText xml:space="preserve"> PAGEREF _Toc322942152 \h </w:instrText>
      </w:r>
      <w:r w:rsidR="002559BD" w:rsidRPr="004B5BC0">
        <w:rPr>
          <w:noProof/>
        </w:rPr>
      </w:r>
      <w:r w:rsidRPr="004B5BC0">
        <w:rPr>
          <w:noProof/>
        </w:rPr>
        <w:fldChar w:fldCharType="separate"/>
      </w:r>
      <w:r w:rsidRPr="004B5BC0">
        <w:rPr>
          <w:noProof/>
        </w:rPr>
        <w:t>24</w:t>
      </w:r>
      <w:r w:rsidRPr="004B5BC0">
        <w:rPr>
          <w:noProof/>
        </w:rPr>
        <w:fldChar w:fldCharType="end"/>
      </w:r>
    </w:p>
    <w:p w:rsidR="004B5BC0" w:rsidRPr="004B5BC0" w:rsidRDefault="004B5BC0">
      <w:pPr>
        <w:pStyle w:val="TOC4"/>
        <w:tabs>
          <w:tab w:val="left" w:pos="1572"/>
          <w:tab w:val="right" w:leader="dot" w:pos="9350"/>
        </w:tabs>
        <w:rPr>
          <w:rFonts w:asciiTheme="minorHAnsi" w:eastAsiaTheme="minorEastAsia" w:hAnsiTheme="minorHAnsi" w:cstheme="minorBidi"/>
          <w:noProof/>
          <w:sz w:val="24"/>
        </w:rPr>
      </w:pPr>
      <w:r w:rsidRPr="004B5BC0">
        <w:rPr>
          <w:noProof/>
        </w:rPr>
        <w:t>2.6.3.2</w:t>
      </w:r>
      <w:r w:rsidRPr="004B5BC0">
        <w:rPr>
          <w:rFonts w:asciiTheme="minorHAnsi" w:eastAsiaTheme="minorEastAsia" w:hAnsiTheme="minorHAnsi" w:cstheme="minorBidi"/>
          <w:noProof/>
          <w:sz w:val="24"/>
        </w:rPr>
        <w:tab/>
      </w:r>
      <w:r w:rsidRPr="004B5BC0">
        <w:rPr>
          <w:noProof/>
        </w:rPr>
        <w:t>Short Cadence</w:t>
      </w:r>
      <w:r w:rsidRPr="004B5BC0">
        <w:rPr>
          <w:noProof/>
        </w:rPr>
        <w:tab/>
      </w:r>
      <w:r w:rsidRPr="004B5BC0">
        <w:rPr>
          <w:noProof/>
        </w:rPr>
        <w:fldChar w:fldCharType="begin"/>
      </w:r>
      <w:r w:rsidRPr="004B5BC0">
        <w:rPr>
          <w:noProof/>
        </w:rPr>
        <w:instrText xml:space="preserve"> PAGEREF _Toc322942153 \h </w:instrText>
      </w:r>
      <w:r w:rsidR="002559BD" w:rsidRPr="004B5BC0">
        <w:rPr>
          <w:noProof/>
        </w:rPr>
      </w:r>
      <w:r w:rsidRPr="004B5BC0">
        <w:rPr>
          <w:noProof/>
        </w:rPr>
        <w:fldChar w:fldCharType="separate"/>
      </w:r>
      <w:r w:rsidRPr="004B5BC0">
        <w:rPr>
          <w:noProof/>
        </w:rPr>
        <w:t>25</w:t>
      </w:r>
      <w:r w:rsidRPr="004B5BC0">
        <w:rPr>
          <w:noProof/>
        </w:rPr>
        <w:fldChar w:fldCharType="end"/>
      </w:r>
    </w:p>
    <w:p w:rsidR="004B5BC0" w:rsidRPr="004B5BC0" w:rsidRDefault="004B5BC0">
      <w:pPr>
        <w:pStyle w:val="TOC4"/>
        <w:tabs>
          <w:tab w:val="left" w:pos="1572"/>
          <w:tab w:val="right" w:leader="dot" w:pos="9350"/>
        </w:tabs>
        <w:rPr>
          <w:rFonts w:asciiTheme="minorHAnsi" w:eastAsiaTheme="minorEastAsia" w:hAnsiTheme="minorHAnsi" w:cstheme="minorBidi"/>
          <w:noProof/>
          <w:sz w:val="24"/>
        </w:rPr>
      </w:pPr>
      <w:r w:rsidRPr="004B5BC0">
        <w:rPr>
          <w:noProof/>
        </w:rPr>
        <w:t>2.6.3.3</w:t>
      </w:r>
      <w:r w:rsidRPr="004B5BC0">
        <w:rPr>
          <w:rFonts w:asciiTheme="minorHAnsi" w:eastAsiaTheme="minorEastAsia" w:hAnsiTheme="minorHAnsi" w:cstheme="minorBidi"/>
          <w:noProof/>
          <w:sz w:val="24"/>
        </w:rPr>
        <w:tab/>
      </w:r>
      <w:r w:rsidRPr="004B5BC0">
        <w:rPr>
          <w:noProof/>
        </w:rPr>
        <w:t>Reference</w:t>
      </w:r>
      <w:r w:rsidRPr="004B5BC0">
        <w:rPr>
          <w:noProof/>
        </w:rPr>
        <w:tab/>
      </w:r>
      <w:r w:rsidRPr="004B5BC0">
        <w:rPr>
          <w:noProof/>
        </w:rPr>
        <w:fldChar w:fldCharType="begin"/>
      </w:r>
      <w:r w:rsidRPr="004B5BC0">
        <w:rPr>
          <w:noProof/>
        </w:rPr>
        <w:instrText xml:space="preserve"> PAGEREF _Toc322942154 \h </w:instrText>
      </w:r>
      <w:r w:rsidR="002559BD" w:rsidRPr="004B5BC0">
        <w:rPr>
          <w:noProof/>
        </w:rPr>
      </w:r>
      <w:r w:rsidRPr="004B5BC0">
        <w:rPr>
          <w:noProof/>
        </w:rPr>
        <w:fldChar w:fldCharType="separate"/>
      </w:r>
      <w:r w:rsidRPr="004B5BC0">
        <w:rPr>
          <w:noProof/>
        </w:rPr>
        <w:t>25</w:t>
      </w:r>
      <w:r w:rsidRPr="004B5BC0">
        <w:rPr>
          <w:noProof/>
        </w:rPr>
        <w:fldChar w:fldCharType="end"/>
      </w:r>
    </w:p>
    <w:p w:rsidR="004B5BC0" w:rsidRDefault="004B5BC0">
      <w:pPr>
        <w:pStyle w:val="TOC2"/>
        <w:tabs>
          <w:tab w:val="left" w:pos="758"/>
          <w:tab w:val="right" w:leader="dot" w:pos="9350"/>
        </w:tabs>
        <w:rPr>
          <w:rFonts w:asciiTheme="minorHAnsi" w:eastAsiaTheme="minorEastAsia" w:hAnsiTheme="minorHAnsi" w:cstheme="minorBidi"/>
          <w:noProof/>
          <w:sz w:val="24"/>
        </w:rPr>
      </w:pPr>
      <w:r>
        <w:rPr>
          <w:noProof/>
        </w:rPr>
        <w:t>2.7</w:t>
      </w:r>
      <w:r>
        <w:rPr>
          <w:rFonts w:asciiTheme="minorHAnsi" w:eastAsiaTheme="minorEastAsia" w:hAnsiTheme="minorHAnsi" w:cstheme="minorBidi"/>
          <w:noProof/>
          <w:sz w:val="24"/>
        </w:rPr>
        <w:tab/>
      </w:r>
      <w:r>
        <w:rPr>
          <w:noProof/>
        </w:rPr>
        <w:t>Full Field Images</w:t>
      </w:r>
      <w:r>
        <w:rPr>
          <w:noProof/>
        </w:rPr>
        <w:tab/>
      </w:r>
      <w:r>
        <w:rPr>
          <w:noProof/>
        </w:rPr>
        <w:fldChar w:fldCharType="begin"/>
      </w:r>
      <w:r>
        <w:rPr>
          <w:noProof/>
        </w:rPr>
        <w:instrText xml:space="preserve"> PAGEREF _Toc322942155 \h </w:instrText>
      </w:r>
      <w:r w:rsidR="002559BD">
        <w:rPr>
          <w:noProof/>
        </w:rPr>
      </w:r>
      <w:r>
        <w:rPr>
          <w:noProof/>
        </w:rPr>
        <w:fldChar w:fldCharType="separate"/>
      </w:r>
      <w:r>
        <w:rPr>
          <w:noProof/>
        </w:rPr>
        <w:t>26</w:t>
      </w:r>
      <w:r>
        <w:rPr>
          <w:noProof/>
        </w:rPr>
        <w:fldChar w:fldCharType="end"/>
      </w:r>
    </w:p>
    <w:p w:rsidR="004B5BC0" w:rsidRDefault="004B5BC0">
      <w:pPr>
        <w:pStyle w:val="TOC2"/>
        <w:tabs>
          <w:tab w:val="left" w:pos="758"/>
          <w:tab w:val="right" w:leader="dot" w:pos="9350"/>
        </w:tabs>
        <w:rPr>
          <w:rFonts w:asciiTheme="minorHAnsi" w:eastAsiaTheme="minorEastAsia" w:hAnsiTheme="minorHAnsi" w:cstheme="minorBidi"/>
          <w:noProof/>
          <w:sz w:val="24"/>
        </w:rPr>
      </w:pPr>
      <w:r>
        <w:rPr>
          <w:noProof/>
        </w:rPr>
        <w:t>2.8</w:t>
      </w:r>
      <w:r>
        <w:rPr>
          <w:rFonts w:asciiTheme="minorHAnsi" w:eastAsiaTheme="minorEastAsia" w:hAnsiTheme="minorHAnsi" w:cstheme="minorBidi"/>
          <w:noProof/>
          <w:sz w:val="24"/>
        </w:rPr>
        <w:tab/>
      </w:r>
      <w:r>
        <w:rPr>
          <w:noProof/>
        </w:rPr>
        <w:t>Example Full Field Images</w:t>
      </w:r>
      <w:r>
        <w:rPr>
          <w:noProof/>
        </w:rPr>
        <w:tab/>
      </w:r>
      <w:r>
        <w:rPr>
          <w:noProof/>
        </w:rPr>
        <w:fldChar w:fldCharType="begin"/>
      </w:r>
      <w:r>
        <w:rPr>
          <w:noProof/>
        </w:rPr>
        <w:instrText xml:space="preserve"> PAGEREF _Toc322942156 \h </w:instrText>
      </w:r>
      <w:r w:rsidR="002559BD">
        <w:rPr>
          <w:noProof/>
        </w:rPr>
      </w:r>
      <w:r>
        <w:rPr>
          <w:noProof/>
        </w:rPr>
        <w:fldChar w:fldCharType="separate"/>
      </w:r>
      <w:r>
        <w:rPr>
          <w:noProof/>
        </w:rPr>
        <w:t>26</w:t>
      </w:r>
      <w:r>
        <w:rPr>
          <w:noProof/>
        </w:rPr>
        <w:fldChar w:fldCharType="end"/>
      </w:r>
    </w:p>
    <w:p w:rsidR="004B5BC0" w:rsidRDefault="004B5BC0">
      <w:pPr>
        <w:pStyle w:val="TOC2"/>
        <w:tabs>
          <w:tab w:val="left" w:pos="758"/>
          <w:tab w:val="right" w:leader="dot" w:pos="9350"/>
        </w:tabs>
        <w:rPr>
          <w:rFonts w:asciiTheme="minorHAnsi" w:eastAsiaTheme="minorEastAsia" w:hAnsiTheme="minorHAnsi" w:cstheme="minorBidi"/>
          <w:noProof/>
          <w:sz w:val="24"/>
        </w:rPr>
      </w:pPr>
      <w:r>
        <w:rPr>
          <w:noProof/>
        </w:rPr>
        <w:t>2.9</w:t>
      </w:r>
      <w:r>
        <w:rPr>
          <w:rFonts w:asciiTheme="minorHAnsi" w:eastAsiaTheme="minorEastAsia" w:hAnsiTheme="minorHAnsi" w:cstheme="minorBidi"/>
          <w:noProof/>
          <w:sz w:val="24"/>
        </w:rPr>
        <w:tab/>
      </w:r>
      <w:r>
        <w:rPr>
          <w:noProof/>
        </w:rPr>
        <w:t>Ground Test Data Relevant to Flight Calibration</w:t>
      </w:r>
      <w:r>
        <w:rPr>
          <w:noProof/>
        </w:rPr>
        <w:tab/>
      </w:r>
      <w:r>
        <w:rPr>
          <w:noProof/>
        </w:rPr>
        <w:fldChar w:fldCharType="begin"/>
      </w:r>
      <w:r>
        <w:rPr>
          <w:noProof/>
        </w:rPr>
        <w:instrText xml:space="preserve"> PAGEREF _Toc322942157 \h </w:instrText>
      </w:r>
      <w:r w:rsidR="002559BD">
        <w:rPr>
          <w:noProof/>
        </w:rPr>
      </w:r>
      <w:r>
        <w:rPr>
          <w:noProof/>
        </w:rPr>
        <w:fldChar w:fldCharType="separate"/>
      </w:r>
      <w:r>
        <w:rPr>
          <w:noProof/>
        </w:rPr>
        <w:t>27</w:t>
      </w:r>
      <w:r>
        <w:rPr>
          <w:noProof/>
        </w:rPr>
        <w:fldChar w:fldCharType="end"/>
      </w:r>
    </w:p>
    <w:p w:rsidR="004B5BC0" w:rsidRDefault="004B5BC0">
      <w:pPr>
        <w:pStyle w:val="TOC1"/>
        <w:tabs>
          <w:tab w:val="left" w:pos="407"/>
          <w:tab w:val="right" w:leader="dot" w:pos="9350"/>
        </w:tabs>
        <w:rPr>
          <w:rFonts w:asciiTheme="minorHAnsi" w:eastAsiaTheme="minorEastAsia" w:hAnsiTheme="minorHAnsi" w:cstheme="minorBidi"/>
          <w:noProof/>
          <w:sz w:val="24"/>
        </w:rPr>
      </w:pPr>
      <w:r>
        <w:rPr>
          <w:noProof/>
        </w:rPr>
        <w:t>3.</w:t>
      </w:r>
      <w:r>
        <w:rPr>
          <w:rFonts w:asciiTheme="minorHAnsi" w:eastAsiaTheme="minorEastAsia" w:hAnsiTheme="minorHAnsi" w:cstheme="minorBidi"/>
          <w:noProof/>
          <w:sz w:val="24"/>
        </w:rPr>
        <w:tab/>
      </w:r>
      <w:r>
        <w:rPr>
          <w:noProof/>
        </w:rPr>
        <w:t>Optics and Images</w:t>
      </w:r>
      <w:r>
        <w:rPr>
          <w:noProof/>
        </w:rPr>
        <w:tab/>
      </w:r>
      <w:r>
        <w:rPr>
          <w:noProof/>
        </w:rPr>
        <w:fldChar w:fldCharType="begin"/>
      </w:r>
      <w:r>
        <w:rPr>
          <w:noProof/>
        </w:rPr>
        <w:instrText xml:space="preserve"> PAGEREF _Toc322942158 \h </w:instrText>
      </w:r>
      <w:r w:rsidR="002559BD">
        <w:rPr>
          <w:noProof/>
        </w:rPr>
      </w:r>
      <w:r>
        <w:rPr>
          <w:noProof/>
        </w:rPr>
        <w:fldChar w:fldCharType="separate"/>
      </w:r>
      <w:r>
        <w:rPr>
          <w:noProof/>
        </w:rPr>
        <w:t>29</w:t>
      </w:r>
      <w:r>
        <w:rPr>
          <w:noProof/>
        </w:rPr>
        <w:fldChar w:fldCharType="end"/>
      </w:r>
    </w:p>
    <w:p w:rsidR="004B5BC0" w:rsidRDefault="004B5BC0">
      <w:pPr>
        <w:pStyle w:val="TOC2"/>
        <w:tabs>
          <w:tab w:val="left" w:pos="758"/>
          <w:tab w:val="right" w:leader="dot" w:pos="9350"/>
        </w:tabs>
        <w:rPr>
          <w:rFonts w:asciiTheme="minorHAnsi" w:eastAsiaTheme="minorEastAsia" w:hAnsiTheme="minorHAnsi" w:cstheme="minorBidi"/>
          <w:noProof/>
          <w:sz w:val="24"/>
        </w:rPr>
      </w:pPr>
      <w:r>
        <w:rPr>
          <w:noProof/>
        </w:rPr>
        <w:t>3.1</w:t>
      </w:r>
      <w:r>
        <w:rPr>
          <w:rFonts w:asciiTheme="minorHAnsi" w:eastAsiaTheme="minorEastAsia" w:hAnsiTheme="minorHAnsi" w:cstheme="minorBidi"/>
          <w:noProof/>
          <w:sz w:val="24"/>
        </w:rPr>
        <w:tab/>
      </w:r>
      <w:r>
        <w:rPr>
          <w:noProof/>
        </w:rPr>
        <w:t>Telescope Design Summary</w:t>
      </w:r>
      <w:r>
        <w:rPr>
          <w:noProof/>
        </w:rPr>
        <w:tab/>
      </w:r>
      <w:r>
        <w:rPr>
          <w:noProof/>
        </w:rPr>
        <w:fldChar w:fldCharType="begin"/>
      </w:r>
      <w:r>
        <w:rPr>
          <w:noProof/>
        </w:rPr>
        <w:instrText xml:space="preserve"> PAGEREF _Toc322942159 \h </w:instrText>
      </w:r>
      <w:r w:rsidR="002559BD">
        <w:rPr>
          <w:noProof/>
        </w:rPr>
      </w:r>
      <w:r>
        <w:rPr>
          <w:noProof/>
        </w:rPr>
        <w:fldChar w:fldCharType="separate"/>
      </w:r>
      <w:r>
        <w:rPr>
          <w:noProof/>
        </w:rPr>
        <w:t>29</w:t>
      </w:r>
      <w:r>
        <w:rPr>
          <w:noProof/>
        </w:rPr>
        <w:fldChar w:fldCharType="end"/>
      </w:r>
    </w:p>
    <w:p w:rsidR="004B5BC0" w:rsidRDefault="004B5BC0">
      <w:pPr>
        <w:pStyle w:val="TOC2"/>
        <w:tabs>
          <w:tab w:val="left" w:pos="758"/>
          <w:tab w:val="right" w:leader="dot" w:pos="9350"/>
        </w:tabs>
        <w:rPr>
          <w:rFonts w:asciiTheme="minorHAnsi" w:eastAsiaTheme="minorEastAsia" w:hAnsiTheme="minorHAnsi" w:cstheme="minorBidi"/>
          <w:noProof/>
          <w:sz w:val="24"/>
        </w:rPr>
      </w:pPr>
      <w:r>
        <w:rPr>
          <w:noProof/>
        </w:rPr>
        <w:t>3.2</w:t>
      </w:r>
      <w:r>
        <w:rPr>
          <w:rFonts w:asciiTheme="minorHAnsi" w:eastAsiaTheme="minorEastAsia" w:hAnsiTheme="minorHAnsi" w:cstheme="minorBidi"/>
          <w:noProof/>
          <w:sz w:val="24"/>
        </w:rPr>
        <w:tab/>
      </w:r>
      <w:r>
        <w:rPr>
          <w:noProof/>
        </w:rPr>
        <w:t>Optical Components</w:t>
      </w:r>
      <w:r>
        <w:rPr>
          <w:noProof/>
        </w:rPr>
        <w:tab/>
      </w:r>
      <w:r>
        <w:rPr>
          <w:noProof/>
        </w:rPr>
        <w:fldChar w:fldCharType="begin"/>
      </w:r>
      <w:r>
        <w:rPr>
          <w:noProof/>
        </w:rPr>
        <w:instrText xml:space="preserve"> PAGEREF _Toc322942160 \h </w:instrText>
      </w:r>
      <w:r w:rsidR="002559BD">
        <w:rPr>
          <w:noProof/>
        </w:rPr>
      </w:r>
      <w:r>
        <w:rPr>
          <w:noProof/>
        </w:rPr>
        <w:fldChar w:fldCharType="separate"/>
      </w:r>
      <w:r>
        <w:rPr>
          <w:noProof/>
        </w:rPr>
        <w:t>30</w:t>
      </w:r>
      <w:r>
        <w:rPr>
          <w:noProof/>
        </w:rPr>
        <w:fldChar w:fldCharType="end"/>
      </w:r>
    </w:p>
    <w:p w:rsidR="004B5BC0" w:rsidRDefault="004B5BC0">
      <w:pPr>
        <w:pStyle w:val="TOC3"/>
        <w:tabs>
          <w:tab w:val="left" w:pos="1165"/>
          <w:tab w:val="right" w:leader="dot" w:pos="9350"/>
        </w:tabs>
        <w:rPr>
          <w:rFonts w:asciiTheme="minorHAnsi" w:eastAsiaTheme="minorEastAsia" w:hAnsiTheme="minorHAnsi" w:cstheme="minorBidi"/>
          <w:noProof/>
          <w:sz w:val="24"/>
        </w:rPr>
      </w:pPr>
      <w:r>
        <w:rPr>
          <w:noProof/>
        </w:rPr>
        <w:t>3.2.1</w:t>
      </w:r>
      <w:r>
        <w:rPr>
          <w:rFonts w:asciiTheme="minorHAnsi" w:eastAsiaTheme="minorEastAsia" w:hAnsiTheme="minorHAnsi" w:cstheme="minorBidi"/>
          <w:noProof/>
          <w:sz w:val="24"/>
        </w:rPr>
        <w:tab/>
      </w:r>
      <w:r>
        <w:rPr>
          <w:noProof/>
        </w:rPr>
        <w:t>Primary</w:t>
      </w:r>
      <w:r>
        <w:rPr>
          <w:noProof/>
        </w:rPr>
        <w:tab/>
      </w:r>
      <w:r>
        <w:rPr>
          <w:noProof/>
        </w:rPr>
        <w:fldChar w:fldCharType="begin"/>
      </w:r>
      <w:r>
        <w:rPr>
          <w:noProof/>
        </w:rPr>
        <w:instrText xml:space="preserve"> PAGEREF _Toc322942161 \h </w:instrText>
      </w:r>
      <w:r w:rsidR="002559BD">
        <w:rPr>
          <w:noProof/>
        </w:rPr>
      </w:r>
      <w:r>
        <w:rPr>
          <w:noProof/>
        </w:rPr>
        <w:fldChar w:fldCharType="separate"/>
      </w:r>
      <w:r>
        <w:rPr>
          <w:noProof/>
        </w:rPr>
        <w:t>30</w:t>
      </w:r>
      <w:r>
        <w:rPr>
          <w:noProof/>
        </w:rPr>
        <w:fldChar w:fldCharType="end"/>
      </w:r>
    </w:p>
    <w:p w:rsidR="004B5BC0" w:rsidRDefault="004B5BC0">
      <w:pPr>
        <w:pStyle w:val="TOC3"/>
        <w:tabs>
          <w:tab w:val="left" w:pos="1165"/>
          <w:tab w:val="right" w:leader="dot" w:pos="9350"/>
        </w:tabs>
        <w:rPr>
          <w:rFonts w:asciiTheme="minorHAnsi" w:eastAsiaTheme="minorEastAsia" w:hAnsiTheme="minorHAnsi" w:cstheme="minorBidi"/>
          <w:noProof/>
          <w:sz w:val="24"/>
        </w:rPr>
      </w:pPr>
      <w:r>
        <w:rPr>
          <w:noProof/>
        </w:rPr>
        <w:t>3.2.2</w:t>
      </w:r>
      <w:r>
        <w:rPr>
          <w:rFonts w:asciiTheme="minorHAnsi" w:eastAsiaTheme="minorEastAsia" w:hAnsiTheme="minorHAnsi" w:cstheme="minorBidi"/>
          <w:noProof/>
          <w:sz w:val="24"/>
        </w:rPr>
        <w:tab/>
      </w:r>
      <w:r>
        <w:rPr>
          <w:noProof/>
        </w:rPr>
        <w:t>Schmidt Corrector</w:t>
      </w:r>
      <w:r>
        <w:rPr>
          <w:noProof/>
        </w:rPr>
        <w:tab/>
      </w:r>
      <w:r>
        <w:rPr>
          <w:noProof/>
        </w:rPr>
        <w:fldChar w:fldCharType="begin"/>
      </w:r>
      <w:r>
        <w:rPr>
          <w:noProof/>
        </w:rPr>
        <w:instrText xml:space="preserve"> PAGEREF _Toc322942162 \h </w:instrText>
      </w:r>
      <w:r w:rsidR="002559BD">
        <w:rPr>
          <w:noProof/>
        </w:rPr>
      </w:r>
      <w:r>
        <w:rPr>
          <w:noProof/>
        </w:rPr>
        <w:fldChar w:fldCharType="separate"/>
      </w:r>
      <w:r>
        <w:rPr>
          <w:noProof/>
        </w:rPr>
        <w:t>31</w:t>
      </w:r>
      <w:r>
        <w:rPr>
          <w:noProof/>
        </w:rPr>
        <w:fldChar w:fldCharType="end"/>
      </w:r>
    </w:p>
    <w:p w:rsidR="004B5BC0" w:rsidRDefault="004B5BC0">
      <w:pPr>
        <w:pStyle w:val="TOC3"/>
        <w:tabs>
          <w:tab w:val="left" w:pos="1165"/>
          <w:tab w:val="right" w:leader="dot" w:pos="9350"/>
        </w:tabs>
        <w:rPr>
          <w:rFonts w:asciiTheme="minorHAnsi" w:eastAsiaTheme="minorEastAsia" w:hAnsiTheme="minorHAnsi" w:cstheme="minorBidi"/>
          <w:noProof/>
          <w:sz w:val="24"/>
        </w:rPr>
      </w:pPr>
      <w:r>
        <w:rPr>
          <w:noProof/>
        </w:rPr>
        <w:t>3.2.3</w:t>
      </w:r>
      <w:r>
        <w:rPr>
          <w:rFonts w:asciiTheme="minorHAnsi" w:eastAsiaTheme="minorEastAsia" w:hAnsiTheme="minorHAnsi" w:cstheme="minorBidi"/>
          <w:noProof/>
          <w:sz w:val="24"/>
        </w:rPr>
        <w:tab/>
      </w:r>
      <w:r>
        <w:rPr>
          <w:noProof/>
        </w:rPr>
        <w:t>Field Flattener Lenses</w:t>
      </w:r>
      <w:r>
        <w:rPr>
          <w:noProof/>
        </w:rPr>
        <w:tab/>
      </w:r>
      <w:r>
        <w:rPr>
          <w:noProof/>
        </w:rPr>
        <w:fldChar w:fldCharType="begin"/>
      </w:r>
      <w:r>
        <w:rPr>
          <w:noProof/>
        </w:rPr>
        <w:instrText xml:space="preserve"> PAGEREF _Toc322942163 \h </w:instrText>
      </w:r>
      <w:r w:rsidR="002559BD">
        <w:rPr>
          <w:noProof/>
        </w:rPr>
      </w:r>
      <w:r>
        <w:rPr>
          <w:noProof/>
        </w:rPr>
        <w:fldChar w:fldCharType="separate"/>
      </w:r>
      <w:r>
        <w:rPr>
          <w:noProof/>
        </w:rPr>
        <w:t>32</w:t>
      </w:r>
      <w:r>
        <w:rPr>
          <w:noProof/>
        </w:rPr>
        <w:fldChar w:fldCharType="end"/>
      </w:r>
    </w:p>
    <w:p w:rsidR="004B5BC0" w:rsidRDefault="004B5BC0">
      <w:pPr>
        <w:pStyle w:val="TOC2"/>
        <w:tabs>
          <w:tab w:val="left" w:pos="758"/>
          <w:tab w:val="right" w:leader="dot" w:pos="9350"/>
        </w:tabs>
        <w:rPr>
          <w:rFonts w:asciiTheme="minorHAnsi" w:eastAsiaTheme="minorEastAsia" w:hAnsiTheme="minorHAnsi" w:cstheme="minorBidi"/>
          <w:noProof/>
          <w:sz w:val="24"/>
        </w:rPr>
      </w:pPr>
      <w:r>
        <w:rPr>
          <w:noProof/>
        </w:rPr>
        <w:t>3.3</w:t>
      </w:r>
      <w:r>
        <w:rPr>
          <w:rFonts w:asciiTheme="minorHAnsi" w:eastAsiaTheme="minorEastAsia" w:hAnsiTheme="minorHAnsi" w:cstheme="minorBidi"/>
          <w:noProof/>
          <w:sz w:val="24"/>
        </w:rPr>
        <w:tab/>
      </w:r>
      <w:r>
        <w:rPr>
          <w:noProof/>
        </w:rPr>
        <w:t>Photometer Spectral Response</w:t>
      </w:r>
      <w:r>
        <w:rPr>
          <w:noProof/>
        </w:rPr>
        <w:tab/>
      </w:r>
      <w:r>
        <w:rPr>
          <w:noProof/>
        </w:rPr>
        <w:fldChar w:fldCharType="begin"/>
      </w:r>
      <w:r>
        <w:rPr>
          <w:noProof/>
        </w:rPr>
        <w:instrText xml:space="preserve"> PAGEREF _Toc322942164 \h </w:instrText>
      </w:r>
      <w:r w:rsidR="002559BD">
        <w:rPr>
          <w:noProof/>
        </w:rPr>
      </w:r>
      <w:r>
        <w:rPr>
          <w:noProof/>
        </w:rPr>
        <w:fldChar w:fldCharType="separate"/>
      </w:r>
      <w:r>
        <w:rPr>
          <w:noProof/>
        </w:rPr>
        <w:t>33</w:t>
      </w:r>
      <w:r>
        <w:rPr>
          <w:noProof/>
        </w:rPr>
        <w:fldChar w:fldCharType="end"/>
      </w:r>
    </w:p>
    <w:p w:rsidR="004B5BC0" w:rsidRDefault="004B5BC0">
      <w:pPr>
        <w:pStyle w:val="TOC2"/>
        <w:tabs>
          <w:tab w:val="left" w:pos="758"/>
          <w:tab w:val="right" w:leader="dot" w:pos="9350"/>
        </w:tabs>
        <w:rPr>
          <w:rFonts w:asciiTheme="minorHAnsi" w:eastAsiaTheme="minorEastAsia" w:hAnsiTheme="minorHAnsi" w:cstheme="minorBidi"/>
          <w:noProof/>
          <w:sz w:val="24"/>
        </w:rPr>
      </w:pPr>
      <w:r>
        <w:rPr>
          <w:noProof/>
        </w:rPr>
        <w:t>3.4</w:t>
      </w:r>
      <w:r>
        <w:rPr>
          <w:rFonts w:asciiTheme="minorHAnsi" w:eastAsiaTheme="minorEastAsia" w:hAnsiTheme="minorHAnsi" w:cstheme="minorBidi"/>
          <w:noProof/>
          <w:sz w:val="24"/>
        </w:rPr>
        <w:tab/>
      </w:r>
      <w:r>
        <w:rPr>
          <w:noProof/>
        </w:rPr>
        <w:t>Aberrations</w:t>
      </w:r>
      <w:r>
        <w:rPr>
          <w:noProof/>
        </w:rPr>
        <w:tab/>
      </w:r>
      <w:r>
        <w:rPr>
          <w:noProof/>
        </w:rPr>
        <w:fldChar w:fldCharType="begin"/>
      </w:r>
      <w:r>
        <w:rPr>
          <w:noProof/>
        </w:rPr>
        <w:instrText xml:space="preserve"> PAGEREF _Toc322942165 \h </w:instrText>
      </w:r>
      <w:r w:rsidR="002559BD">
        <w:rPr>
          <w:noProof/>
        </w:rPr>
      </w:r>
      <w:r>
        <w:rPr>
          <w:noProof/>
        </w:rPr>
        <w:fldChar w:fldCharType="separate"/>
      </w:r>
      <w:r>
        <w:rPr>
          <w:noProof/>
        </w:rPr>
        <w:t>35</w:t>
      </w:r>
      <w:r>
        <w:rPr>
          <w:noProof/>
        </w:rPr>
        <w:fldChar w:fldCharType="end"/>
      </w:r>
    </w:p>
    <w:p w:rsidR="004B5BC0" w:rsidRDefault="004B5BC0">
      <w:pPr>
        <w:pStyle w:val="TOC2"/>
        <w:tabs>
          <w:tab w:val="left" w:pos="758"/>
          <w:tab w:val="right" w:leader="dot" w:pos="9350"/>
        </w:tabs>
        <w:rPr>
          <w:rFonts w:asciiTheme="minorHAnsi" w:eastAsiaTheme="minorEastAsia" w:hAnsiTheme="minorHAnsi" w:cstheme="minorBidi"/>
          <w:noProof/>
          <w:sz w:val="24"/>
        </w:rPr>
      </w:pPr>
      <w:r>
        <w:rPr>
          <w:noProof/>
        </w:rPr>
        <w:t>3.5</w:t>
      </w:r>
      <w:r>
        <w:rPr>
          <w:rFonts w:asciiTheme="minorHAnsi" w:eastAsiaTheme="minorEastAsia" w:hAnsiTheme="minorHAnsi" w:cstheme="minorBidi"/>
          <w:noProof/>
          <w:sz w:val="24"/>
        </w:rPr>
        <w:tab/>
      </w:r>
      <w:r>
        <w:rPr>
          <w:noProof/>
        </w:rPr>
        <w:t>Pixel Response Function</w:t>
      </w:r>
      <w:r>
        <w:rPr>
          <w:noProof/>
        </w:rPr>
        <w:tab/>
      </w:r>
      <w:r>
        <w:rPr>
          <w:noProof/>
        </w:rPr>
        <w:fldChar w:fldCharType="begin"/>
      </w:r>
      <w:r>
        <w:rPr>
          <w:noProof/>
        </w:rPr>
        <w:instrText xml:space="preserve"> PAGEREF _Toc322942166 \h </w:instrText>
      </w:r>
      <w:r w:rsidR="002559BD">
        <w:rPr>
          <w:noProof/>
        </w:rPr>
      </w:r>
      <w:r>
        <w:rPr>
          <w:noProof/>
        </w:rPr>
        <w:fldChar w:fldCharType="separate"/>
      </w:r>
      <w:r>
        <w:rPr>
          <w:noProof/>
        </w:rPr>
        <w:t>36</w:t>
      </w:r>
      <w:r>
        <w:rPr>
          <w:noProof/>
        </w:rPr>
        <w:fldChar w:fldCharType="end"/>
      </w:r>
    </w:p>
    <w:p w:rsidR="004B5BC0" w:rsidRDefault="004B5BC0">
      <w:pPr>
        <w:pStyle w:val="TOC2"/>
        <w:tabs>
          <w:tab w:val="left" w:pos="758"/>
          <w:tab w:val="right" w:leader="dot" w:pos="9350"/>
        </w:tabs>
        <w:rPr>
          <w:rFonts w:asciiTheme="minorHAnsi" w:eastAsiaTheme="minorEastAsia" w:hAnsiTheme="minorHAnsi" w:cstheme="minorBidi"/>
          <w:noProof/>
          <w:sz w:val="24"/>
        </w:rPr>
      </w:pPr>
      <w:r>
        <w:rPr>
          <w:noProof/>
        </w:rPr>
        <w:t>3.6</w:t>
      </w:r>
      <w:r>
        <w:rPr>
          <w:rFonts w:asciiTheme="minorHAnsi" w:eastAsiaTheme="minorEastAsia" w:hAnsiTheme="minorHAnsi" w:cstheme="minorBidi"/>
          <w:noProof/>
          <w:sz w:val="24"/>
        </w:rPr>
        <w:tab/>
      </w:r>
      <w:r>
        <w:rPr>
          <w:noProof/>
        </w:rPr>
        <w:t>Obscuration and Vignetting</w:t>
      </w:r>
      <w:r>
        <w:rPr>
          <w:noProof/>
        </w:rPr>
        <w:tab/>
      </w:r>
      <w:r>
        <w:rPr>
          <w:noProof/>
        </w:rPr>
        <w:fldChar w:fldCharType="begin"/>
      </w:r>
      <w:r>
        <w:rPr>
          <w:noProof/>
        </w:rPr>
        <w:instrText xml:space="preserve"> PAGEREF _Toc322942167 \h </w:instrText>
      </w:r>
      <w:r w:rsidR="002559BD">
        <w:rPr>
          <w:noProof/>
        </w:rPr>
      </w:r>
      <w:r>
        <w:rPr>
          <w:noProof/>
        </w:rPr>
        <w:fldChar w:fldCharType="separate"/>
      </w:r>
      <w:r>
        <w:rPr>
          <w:noProof/>
        </w:rPr>
        <w:t>38</w:t>
      </w:r>
      <w:r>
        <w:rPr>
          <w:noProof/>
        </w:rPr>
        <w:fldChar w:fldCharType="end"/>
      </w:r>
    </w:p>
    <w:p w:rsidR="004B5BC0" w:rsidRDefault="004B5BC0">
      <w:pPr>
        <w:pStyle w:val="TOC2"/>
        <w:tabs>
          <w:tab w:val="left" w:pos="758"/>
          <w:tab w:val="right" w:leader="dot" w:pos="9350"/>
        </w:tabs>
        <w:rPr>
          <w:rFonts w:asciiTheme="minorHAnsi" w:eastAsiaTheme="minorEastAsia" w:hAnsiTheme="minorHAnsi" w:cstheme="minorBidi"/>
          <w:noProof/>
          <w:sz w:val="24"/>
        </w:rPr>
      </w:pPr>
      <w:r>
        <w:rPr>
          <w:noProof/>
        </w:rPr>
        <w:t>3.7</w:t>
      </w:r>
      <w:r>
        <w:rPr>
          <w:rFonts w:asciiTheme="minorHAnsi" w:eastAsiaTheme="minorEastAsia" w:hAnsiTheme="minorHAnsi" w:cstheme="minorBidi"/>
          <w:noProof/>
          <w:sz w:val="24"/>
        </w:rPr>
        <w:tab/>
      </w:r>
      <w:r>
        <w:rPr>
          <w:noProof/>
        </w:rPr>
        <w:t>Pointing Requirements and Performance</w:t>
      </w:r>
      <w:r>
        <w:rPr>
          <w:noProof/>
        </w:rPr>
        <w:tab/>
      </w:r>
      <w:r>
        <w:rPr>
          <w:noProof/>
        </w:rPr>
        <w:fldChar w:fldCharType="begin"/>
      </w:r>
      <w:r>
        <w:rPr>
          <w:noProof/>
        </w:rPr>
        <w:instrText xml:space="preserve"> PAGEREF _Toc322942168 \h </w:instrText>
      </w:r>
      <w:r w:rsidR="002559BD">
        <w:rPr>
          <w:noProof/>
        </w:rPr>
      </w:r>
      <w:r>
        <w:rPr>
          <w:noProof/>
        </w:rPr>
        <w:fldChar w:fldCharType="separate"/>
      </w:r>
      <w:r>
        <w:rPr>
          <w:noProof/>
        </w:rPr>
        <w:t>39</w:t>
      </w:r>
      <w:r>
        <w:rPr>
          <w:noProof/>
        </w:rPr>
        <w:fldChar w:fldCharType="end"/>
      </w:r>
    </w:p>
    <w:p w:rsidR="004B5BC0" w:rsidRDefault="004B5BC0">
      <w:pPr>
        <w:pStyle w:val="TOC2"/>
        <w:tabs>
          <w:tab w:val="left" w:pos="758"/>
          <w:tab w:val="right" w:leader="dot" w:pos="9350"/>
        </w:tabs>
        <w:rPr>
          <w:rFonts w:asciiTheme="minorHAnsi" w:eastAsiaTheme="minorEastAsia" w:hAnsiTheme="minorHAnsi" w:cstheme="minorBidi"/>
          <w:noProof/>
          <w:sz w:val="24"/>
        </w:rPr>
      </w:pPr>
      <w:r>
        <w:rPr>
          <w:noProof/>
        </w:rPr>
        <w:t>3.8</w:t>
      </w:r>
      <w:r>
        <w:rPr>
          <w:rFonts w:asciiTheme="minorHAnsi" w:eastAsiaTheme="minorEastAsia" w:hAnsiTheme="minorHAnsi" w:cstheme="minorBidi"/>
          <w:noProof/>
          <w:sz w:val="24"/>
        </w:rPr>
        <w:tab/>
      </w:r>
      <w:r>
        <w:rPr>
          <w:noProof/>
        </w:rPr>
        <w:t>Optical Field Angle Distortion (OFAD)</w:t>
      </w:r>
      <w:r>
        <w:rPr>
          <w:noProof/>
        </w:rPr>
        <w:tab/>
      </w:r>
      <w:r>
        <w:rPr>
          <w:noProof/>
        </w:rPr>
        <w:fldChar w:fldCharType="begin"/>
      </w:r>
      <w:r>
        <w:rPr>
          <w:noProof/>
        </w:rPr>
        <w:instrText xml:space="preserve"> PAGEREF _Toc322942169 \h </w:instrText>
      </w:r>
      <w:r w:rsidR="002559BD">
        <w:rPr>
          <w:noProof/>
        </w:rPr>
      </w:r>
      <w:r>
        <w:rPr>
          <w:noProof/>
        </w:rPr>
        <w:fldChar w:fldCharType="separate"/>
      </w:r>
      <w:r>
        <w:rPr>
          <w:noProof/>
        </w:rPr>
        <w:t>40</w:t>
      </w:r>
      <w:r>
        <w:rPr>
          <w:noProof/>
        </w:rPr>
        <w:fldChar w:fldCharType="end"/>
      </w:r>
    </w:p>
    <w:p w:rsidR="004B5BC0" w:rsidRDefault="004B5BC0">
      <w:pPr>
        <w:pStyle w:val="TOC2"/>
        <w:tabs>
          <w:tab w:val="left" w:pos="758"/>
          <w:tab w:val="right" w:leader="dot" w:pos="9350"/>
        </w:tabs>
        <w:rPr>
          <w:rFonts w:asciiTheme="minorHAnsi" w:eastAsiaTheme="minorEastAsia" w:hAnsiTheme="minorHAnsi" w:cstheme="minorBidi"/>
          <w:noProof/>
          <w:sz w:val="24"/>
        </w:rPr>
      </w:pPr>
      <w:r>
        <w:rPr>
          <w:noProof/>
        </w:rPr>
        <w:t>3.9</w:t>
      </w:r>
      <w:r>
        <w:rPr>
          <w:rFonts w:asciiTheme="minorHAnsi" w:eastAsiaTheme="minorEastAsia" w:hAnsiTheme="minorHAnsi" w:cstheme="minorBidi"/>
          <w:noProof/>
          <w:sz w:val="24"/>
        </w:rPr>
        <w:tab/>
      </w:r>
      <w:r>
        <w:rPr>
          <w:noProof/>
        </w:rPr>
        <w:t>Differential Velocity Aberration</w:t>
      </w:r>
      <w:r>
        <w:rPr>
          <w:noProof/>
        </w:rPr>
        <w:tab/>
      </w:r>
      <w:r>
        <w:rPr>
          <w:noProof/>
        </w:rPr>
        <w:fldChar w:fldCharType="begin"/>
      </w:r>
      <w:r>
        <w:rPr>
          <w:noProof/>
        </w:rPr>
        <w:instrText xml:space="preserve"> PAGEREF _Toc322942170 \h </w:instrText>
      </w:r>
      <w:r w:rsidR="002559BD">
        <w:rPr>
          <w:noProof/>
        </w:rPr>
      </w:r>
      <w:r>
        <w:rPr>
          <w:noProof/>
        </w:rPr>
        <w:fldChar w:fldCharType="separate"/>
      </w:r>
      <w:r>
        <w:rPr>
          <w:noProof/>
        </w:rPr>
        <w:t>40</w:t>
      </w:r>
      <w:r>
        <w:rPr>
          <w:noProof/>
        </w:rPr>
        <w:fldChar w:fldCharType="end"/>
      </w:r>
    </w:p>
    <w:p w:rsidR="004B5BC0" w:rsidRDefault="004B5BC0">
      <w:pPr>
        <w:pStyle w:val="TOC2"/>
        <w:tabs>
          <w:tab w:val="left" w:pos="869"/>
          <w:tab w:val="right" w:leader="dot" w:pos="9350"/>
        </w:tabs>
        <w:rPr>
          <w:rFonts w:asciiTheme="minorHAnsi" w:eastAsiaTheme="minorEastAsia" w:hAnsiTheme="minorHAnsi" w:cstheme="minorBidi"/>
          <w:noProof/>
          <w:sz w:val="24"/>
        </w:rPr>
      </w:pPr>
      <w:r>
        <w:rPr>
          <w:noProof/>
        </w:rPr>
        <w:t>3.10</w:t>
      </w:r>
      <w:r>
        <w:rPr>
          <w:rFonts w:asciiTheme="minorHAnsi" w:eastAsiaTheme="minorEastAsia" w:hAnsiTheme="minorHAnsi" w:cstheme="minorBidi"/>
          <w:noProof/>
          <w:sz w:val="24"/>
        </w:rPr>
        <w:tab/>
      </w:r>
      <w:r>
        <w:rPr>
          <w:noProof/>
        </w:rPr>
        <w:t>Ghost Images and Scattered Light</w:t>
      </w:r>
      <w:r>
        <w:rPr>
          <w:noProof/>
        </w:rPr>
        <w:tab/>
      </w:r>
      <w:r>
        <w:rPr>
          <w:noProof/>
        </w:rPr>
        <w:fldChar w:fldCharType="begin"/>
      </w:r>
      <w:r>
        <w:rPr>
          <w:noProof/>
        </w:rPr>
        <w:instrText xml:space="preserve"> PAGEREF _Toc322942171 \h </w:instrText>
      </w:r>
      <w:r w:rsidR="002559BD">
        <w:rPr>
          <w:noProof/>
        </w:rPr>
      </w:r>
      <w:r>
        <w:rPr>
          <w:noProof/>
        </w:rPr>
        <w:fldChar w:fldCharType="separate"/>
      </w:r>
      <w:r>
        <w:rPr>
          <w:noProof/>
        </w:rPr>
        <w:t>40</w:t>
      </w:r>
      <w:r>
        <w:rPr>
          <w:noProof/>
        </w:rPr>
        <w:fldChar w:fldCharType="end"/>
      </w:r>
    </w:p>
    <w:p w:rsidR="004B5BC0" w:rsidRDefault="004B5BC0">
      <w:pPr>
        <w:pStyle w:val="TOC1"/>
        <w:tabs>
          <w:tab w:val="left" w:pos="407"/>
          <w:tab w:val="right" w:leader="dot" w:pos="9350"/>
        </w:tabs>
        <w:rPr>
          <w:rFonts w:asciiTheme="minorHAnsi" w:eastAsiaTheme="minorEastAsia" w:hAnsiTheme="minorHAnsi" w:cstheme="minorBidi"/>
          <w:noProof/>
          <w:sz w:val="24"/>
        </w:rPr>
      </w:pPr>
      <w:r>
        <w:rPr>
          <w:noProof/>
        </w:rPr>
        <w:t>4.</w:t>
      </w:r>
      <w:r>
        <w:rPr>
          <w:rFonts w:asciiTheme="minorHAnsi" w:eastAsiaTheme="minorEastAsia" w:hAnsiTheme="minorHAnsi" w:cstheme="minorBidi"/>
          <w:noProof/>
          <w:sz w:val="24"/>
        </w:rPr>
        <w:tab/>
      </w:r>
      <w:r>
        <w:rPr>
          <w:noProof/>
        </w:rPr>
        <w:t>Detector Properties</w:t>
      </w:r>
      <w:r>
        <w:rPr>
          <w:noProof/>
        </w:rPr>
        <w:tab/>
      </w:r>
      <w:r>
        <w:rPr>
          <w:noProof/>
        </w:rPr>
        <w:fldChar w:fldCharType="begin"/>
      </w:r>
      <w:r>
        <w:rPr>
          <w:noProof/>
        </w:rPr>
        <w:instrText xml:space="preserve"> PAGEREF _Toc322942172 \h </w:instrText>
      </w:r>
      <w:r w:rsidR="002559BD">
        <w:rPr>
          <w:noProof/>
        </w:rPr>
      </w:r>
      <w:r>
        <w:rPr>
          <w:noProof/>
        </w:rPr>
        <w:fldChar w:fldCharType="separate"/>
      </w:r>
      <w:r>
        <w:rPr>
          <w:noProof/>
        </w:rPr>
        <w:t>42</w:t>
      </w:r>
      <w:r>
        <w:rPr>
          <w:noProof/>
        </w:rPr>
        <w:fldChar w:fldCharType="end"/>
      </w:r>
    </w:p>
    <w:p w:rsidR="004B5BC0" w:rsidRDefault="004B5BC0">
      <w:pPr>
        <w:pStyle w:val="TOC2"/>
        <w:tabs>
          <w:tab w:val="left" w:pos="758"/>
          <w:tab w:val="right" w:leader="dot" w:pos="9350"/>
        </w:tabs>
        <w:rPr>
          <w:rFonts w:asciiTheme="minorHAnsi" w:eastAsiaTheme="minorEastAsia" w:hAnsiTheme="minorHAnsi" w:cstheme="minorBidi"/>
          <w:noProof/>
          <w:sz w:val="24"/>
        </w:rPr>
      </w:pPr>
      <w:r>
        <w:rPr>
          <w:noProof/>
        </w:rPr>
        <w:t>4.1</w:t>
      </w:r>
      <w:r>
        <w:rPr>
          <w:rFonts w:asciiTheme="minorHAnsi" w:eastAsiaTheme="minorEastAsia" w:hAnsiTheme="minorHAnsi" w:cstheme="minorBidi"/>
          <w:noProof/>
          <w:sz w:val="24"/>
        </w:rPr>
        <w:tab/>
      </w:r>
      <w:r>
        <w:rPr>
          <w:noProof/>
        </w:rPr>
        <w:t>CCD Architecture</w:t>
      </w:r>
      <w:r>
        <w:rPr>
          <w:noProof/>
        </w:rPr>
        <w:tab/>
      </w:r>
      <w:r>
        <w:rPr>
          <w:noProof/>
        </w:rPr>
        <w:fldChar w:fldCharType="begin"/>
      </w:r>
      <w:r>
        <w:rPr>
          <w:noProof/>
        </w:rPr>
        <w:instrText xml:space="preserve"> PAGEREF _Toc322942173 \h </w:instrText>
      </w:r>
      <w:r w:rsidR="002559BD">
        <w:rPr>
          <w:noProof/>
        </w:rPr>
      </w:r>
      <w:r>
        <w:rPr>
          <w:noProof/>
        </w:rPr>
        <w:fldChar w:fldCharType="separate"/>
      </w:r>
      <w:r>
        <w:rPr>
          <w:noProof/>
        </w:rPr>
        <w:t>42</w:t>
      </w:r>
      <w:r>
        <w:rPr>
          <w:noProof/>
        </w:rPr>
        <w:fldChar w:fldCharType="end"/>
      </w:r>
    </w:p>
    <w:p w:rsidR="004B5BC0" w:rsidRDefault="004B5BC0">
      <w:pPr>
        <w:pStyle w:val="TOC2"/>
        <w:tabs>
          <w:tab w:val="left" w:pos="758"/>
          <w:tab w:val="right" w:leader="dot" w:pos="9350"/>
        </w:tabs>
        <w:rPr>
          <w:rFonts w:asciiTheme="minorHAnsi" w:eastAsiaTheme="minorEastAsia" w:hAnsiTheme="minorHAnsi" w:cstheme="minorBidi"/>
          <w:noProof/>
          <w:sz w:val="24"/>
        </w:rPr>
      </w:pPr>
      <w:r>
        <w:rPr>
          <w:noProof/>
        </w:rPr>
        <w:t>4.2</w:t>
      </w:r>
      <w:r>
        <w:rPr>
          <w:rFonts w:asciiTheme="minorHAnsi" w:eastAsiaTheme="minorEastAsia" w:hAnsiTheme="minorHAnsi" w:cstheme="minorBidi"/>
          <w:noProof/>
          <w:sz w:val="24"/>
        </w:rPr>
        <w:tab/>
      </w:r>
      <w:r>
        <w:rPr>
          <w:noProof/>
        </w:rPr>
        <w:t>Physical Characteristics</w:t>
      </w:r>
      <w:r>
        <w:rPr>
          <w:noProof/>
        </w:rPr>
        <w:tab/>
      </w:r>
      <w:r>
        <w:rPr>
          <w:noProof/>
        </w:rPr>
        <w:fldChar w:fldCharType="begin"/>
      </w:r>
      <w:r>
        <w:rPr>
          <w:noProof/>
        </w:rPr>
        <w:instrText xml:space="preserve"> PAGEREF _Toc322942174 \h </w:instrText>
      </w:r>
      <w:r w:rsidR="002559BD">
        <w:rPr>
          <w:noProof/>
        </w:rPr>
      </w:r>
      <w:r>
        <w:rPr>
          <w:noProof/>
        </w:rPr>
        <w:fldChar w:fldCharType="separate"/>
      </w:r>
      <w:r>
        <w:rPr>
          <w:noProof/>
        </w:rPr>
        <w:t>42</w:t>
      </w:r>
      <w:r>
        <w:rPr>
          <w:noProof/>
        </w:rPr>
        <w:fldChar w:fldCharType="end"/>
      </w:r>
    </w:p>
    <w:p w:rsidR="004B5BC0" w:rsidRDefault="004B5BC0">
      <w:pPr>
        <w:pStyle w:val="TOC2"/>
        <w:tabs>
          <w:tab w:val="left" w:pos="758"/>
          <w:tab w:val="right" w:leader="dot" w:pos="9350"/>
        </w:tabs>
        <w:rPr>
          <w:rFonts w:asciiTheme="minorHAnsi" w:eastAsiaTheme="minorEastAsia" w:hAnsiTheme="minorHAnsi" w:cstheme="minorBidi"/>
          <w:noProof/>
          <w:sz w:val="24"/>
        </w:rPr>
      </w:pPr>
      <w:r>
        <w:rPr>
          <w:noProof/>
        </w:rPr>
        <w:t>4.3</w:t>
      </w:r>
      <w:r>
        <w:rPr>
          <w:rFonts w:asciiTheme="minorHAnsi" w:eastAsiaTheme="minorEastAsia" w:hAnsiTheme="minorHAnsi" w:cstheme="minorBidi"/>
          <w:noProof/>
          <w:sz w:val="24"/>
        </w:rPr>
        <w:tab/>
      </w:r>
      <w:r>
        <w:rPr>
          <w:noProof/>
        </w:rPr>
        <w:t>CCD Performance Summary</w:t>
      </w:r>
      <w:r>
        <w:rPr>
          <w:noProof/>
        </w:rPr>
        <w:tab/>
      </w:r>
      <w:r>
        <w:rPr>
          <w:noProof/>
        </w:rPr>
        <w:fldChar w:fldCharType="begin"/>
      </w:r>
      <w:r>
        <w:rPr>
          <w:noProof/>
        </w:rPr>
        <w:instrText xml:space="preserve"> PAGEREF _Toc322942175 \h </w:instrText>
      </w:r>
      <w:r w:rsidR="002559BD">
        <w:rPr>
          <w:noProof/>
        </w:rPr>
      </w:r>
      <w:r>
        <w:rPr>
          <w:noProof/>
        </w:rPr>
        <w:fldChar w:fldCharType="separate"/>
      </w:r>
      <w:r>
        <w:rPr>
          <w:noProof/>
        </w:rPr>
        <w:t>47</w:t>
      </w:r>
      <w:r>
        <w:rPr>
          <w:noProof/>
        </w:rPr>
        <w:fldChar w:fldCharType="end"/>
      </w:r>
    </w:p>
    <w:p w:rsidR="004B5BC0" w:rsidRDefault="004B5BC0">
      <w:pPr>
        <w:pStyle w:val="TOC2"/>
        <w:tabs>
          <w:tab w:val="left" w:pos="758"/>
          <w:tab w:val="right" w:leader="dot" w:pos="9350"/>
        </w:tabs>
        <w:rPr>
          <w:rFonts w:asciiTheme="minorHAnsi" w:eastAsiaTheme="minorEastAsia" w:hAnsiTheme="minorHAnsi" w:cstheme="minorBidi"/>
          <w:noProof/>
          <w:sz w:val="24"/>
        </w:rPr>
      </w:pPr>
      <w:r>
        <w:rPr>
          <w:noProof/>
        </w:rPr>
        <w:t>4.4</w:t>
      </w:r>
      <w:r>
        <w:rPr>
          <w:rFonts w:asciiTheme="minorHAnsi" w:eastAsiaTheme="minorEastAsia" w:hAnsiTheme="minorHAnsi" w:cstheme="minorBidi"/>
          <w:noProof/>
          <w:sz w:val="24"/>
        </w:rPr>
        <w:tab/>
      </w:r>
      <w:r>
        <w:rPr>
          <w:noProof/>
        </w:rPr>
        <w:t>Pixel Numbering</w:t>
      </w:r>
      <w:r>
        <w:rPr>
          <w:noProof/>
        </w:rPr>
        <w:tab/>
      </w:r>
      <w:r>
        <w:rPr>
          <w:noProof/>
        </w:rPr>
        <w:fldChar w:fldCharType="begin"/>
      </w:r>
      <w:r>
        <w:rPr>
          <w:noProof/>
        </w:rPr>
        <w:instrText xml:space="preserve"> PAGEREF _Toc322942176 \h </w:instrText>
      </w:r>
      <w:r w:rsidR="002559BD">
        <w:rPr>
          <w:noProof/>
        </w:rPr>
      </w:r>
      <w:r>
        <w:rPr>
          <w:noProof/>
        </w:rPr>
        <w:fldChar w:fldCharType="separate"/>
      </w:r>
      <w:r>
        <w:rPr>
          <w:noProof/>
        </w:rPr>
        <w:t>48</w:t>
      </w:r>
      <w:r>
        <w:rPr>
          <w:noProof/>
        </w:rPr>
        <w:fldChar w:fldCharType="end"/>
      </w:r>
    </w:p>
    <w:p w:rsidR="004B5BC0" w:rsidRDefault="004B5BC0">
      <w:pPr>
        <w:pStyle w:val="TOC2"/>
        <w:tabs>
          <w:tab w:val="left" w:pos="758"/>
          <w:tab w:val="right" w:leader="dot" w:pos="9350"/>
        </w:tabs>
        <w:rPr>
          <w:rFonts w:asciiTheme="minorHAnsi" w:eastAsiaTheme="minorEastAsia" w:hAnsiTheme="minorHAnsi" w:cstheme="minorBidi"/>
          <w:noProof/>
          <w:sz w:val="24"/>
        </w:rPr>
      </w:pPr>
      <w:r>
        <w:rPr>
          <w:noProof/>
        </w:rPr>
        <w:t>4.5</w:t>
      </w:r>
      <w:r>
        <w:rPr>
          <w:rFonts w:asciiTheme="minorHAnsi" w:eastAsiaTheme="minorEastAsia" w:hAnsiTheme="minorHAnsi" w:cstheme="minorBidi"/>
          <w:noProof/>
          <w:sz w:val="24"/>
        </w:rPr>
        <w:tab/>
      </w:r>
      <w:r>
        <w:rPr>
          <w:noProof/>
        </w:rPr>
        <w:t>Signal Content</w:t>
      </w:r>
      <w:r>
        <w:rPr>
          <w:noProof/>
        </w:rPr>
        <w:tab/>
      </w:r>
      <w:r>
        <w:rPr>
          <w:noProof/>
        </w:rPr>
        <w:fldChar w:fldCharType="begin"/>
      </w:r>
      <w:r>
        <w:rPr>
          <w:noProof/>
        </w:rPr>
        <w:instrText xml:space="preserve"> PAGEREF _Toc322942177 \h </w:instrText>
      </w:r>
      <w:r w:rsidR="002559BD">
        <w:rPr>
          <w:noProof/>
        </w:rPr>
      </w:r>
      <w:r>
        <w:rPr>
          <w:noProof/>
        </w:rPr>
        <w:fldChar w:fldCharType="separate"/>
      </w:r>
      <w:r>
        <w:rPr>
          <w:noProof/>
        </w:rPr>
        <w:t>48</w:t>
      </w:r>
      <w:r>
        <w:rPr>
          <w:noProof/>
        </w:rPr>
        <w:fldChar w:fldCharType="end"/>
      </w:r>
    </w:p>
    <w:p w:rsidR="004B5BC0" w:rsidRDefault="004B5BC0">
      <w:pPr>
        <w:pStyle w:val="TOC2"/>
        <w:tabs>
          <w:tab w:val="left" w:pos="758"/>
          <w:tab w:val="right" w:leader="dot" w:pos="9350"/>
        </w:tabs>
        <w:rPr>
          <w:rFonts w:asciiTheme="minorHAnsi" w:eastAsiaTheme="minorEastAsia" w:hAnsiTheme="minorHAnsi" w:cstheme="minorBidi"/>
          <w:noProof/>
          <w:sz w:val="24"/>
        </w:rPr>
      </w:pPr>
      <w:r>
        <w:rPr>
          <w:noProof/>
        </w:rPr>
        <w:t>4.6</w:t>
      </w:r>
      <w:r>
        <w:rPr>
          <w:rFonts w:asciiTheme="minorHAnsi" w:eastAsiaTheme="minorEastAsia" w:hAnsiTheme="minorHAnsi" w:cstheme="minorBidi"/>
          <w:noProof/>
          <w:sz w:val="24"/>
        </w:rPr>
        <w:tab/>
      </w:r>
      <w:r>
        <w:rPr>
          <w:noProof/>
        </w:rPr>
        <w:t>Black Level</w:t>
      </w:r>
      <w:r>
        <w:rPr>
          <w:noProof/>
        </w:rPr>
        <w:tab/>
      </w:r>
      <w:r>
        <w:rPr>
          <w:noProof/>
        </w:rPr>
        <w:fldChar w:fldCharType="begin"/>
      </w:r>
      <w:r>
        <w:rPr>
          <w:noProof/>
        </w:rPr>
        <w:instrText xml:space="preserve"> PAGEREF _Toc322942178 \h </w:instrText>
      </w:r>
      <w:r w:rsidR="002559BD">
        <w:rPr>
          <w:noProof/>
        </w:rPr>
      </w:r>
      <w:r>
        <w:rPr>
          <w:noProof/>
        </w:rPr>
        <w:fldChar w:fldCharType="separate"/>
      </w:r>
      <w:r>
        <w:rPr>
          <w:noProof/>
        </w:rPr>
        <w:t>50</w:t>
      </w:r>
      <w:r>
        <w:rPr>
          <w:noProof/>
        </w:rPr>
        <w:fldChar w:fldCharType="end"/>
      </w:r>
    </w:p>
    <w:p w:rsidR="004B5BC0" w:rsidRDefault="004B5BC0">
      <w:pPr>
        <w:pStyle w:val="TOC2"/>
        <w:tabs>
          <w:tab w:val="left" w:pos="758"/>
          <w:tab w:val="right" w:leader="dot" w:pos="9350"/>
        </w:tabs>
        <w:rPr>
          <w:rFonts w:asciiTheme="minorHAnsi" w:eastAsiaTheme="minorEastAsia" w:hAnsiTheme="minorHAnsi" w:cstheme="minorBidi"/>
          <w:noProof/>
          <w:sz w:val="24"/>
        </w:rPr>
      </w:pPr>
      <w:r>
        <w:rPr>
          <w:noProof/>
        </w:rPr>
        <w:t>4.7</w:t>
      </w:r>
      <w:r>
        <w:rPr>
          <w:rFonts w:asciiTheme="minorHAnsi" w:eastAsiaTheme="minorEastAsia" w:hAnsiTheme="minorHAnsi" w:cstheme="minorBidi"/>
          <w:noProof/>
          <w:sz w:val="24"/>
        </w:rPr>
        <w:tab/>
      </w:r>
      <w:r>
        <w:rPr>
          <w:noProof/>
        </w:rPr>
        <w:t>Read Noise</w:t>
      </w:r>
      <w:r>
        <w:rPr>
          <w:noProof/>
        </w:rPr>
        <w:tab/>
      </w:r>
      <w:r>
        <w:rPr>
          <w:noProof/>
        </w:rPr>
        <w:fldChar w:fldCharType="begin"/>
      </w:r>
      <w:r>
        <w:rPr>
          <w:noProof/>
        </w:rPr>
        <w:instrText xml:space="preserve"> PAGEREF _Toc322942179 \h </w:instrText>
      </w:r>
      <w:r w:rsidR="002559BD">
        <w:rPr>
          <w:noProof/>
        </w:rPr>
      </w:r>
      <w:r>
        <w:rPr>
          <w:noProof/>
        </w:rPr>
        <w:fldChar w:fldCharType="separate"/>
      </w:r>
      <w:r>
        <w:rPr>
          <w:noProof/>
        </w:rPr>
        <w:t>50</w:t>
      </w:r>
      <w:r>
        <w:rPr>
          <w:noProof/>
        </w:rPr>
        <w:fldChar w:fldCharType="end"/>
      </w:r>
    </w:p>
    <w:p w:rsidR="004B5BC0" w:rsidRDefault="004B5BC0">
      <w:pPr>
        <w:pStyle w:val="TOC2"/>
        <w:tabs>
          <w:tab w:val="left" w:pos="758"/>
          <w:tab w:val="right" w:leader="dot" w:pos="9350"/>
        </w:tabs>
        <w:rPr>
          <w:rFonts w:asciiTheme="minorHAnsi" w:eastAsiaTheme="minorEastAsia" w:hAnsiTheme="minorHAnsi" w:cstheme="minorBidi"/>
          <w:noProof/>
          <w:sz w:val="24"/>
        </w:rPr>
      </w:pPr>
      <w:r>
        <w:rPr>
          <w:noProof/>
        </w:rPr>
        <w:t>4.8</w:t>
      </w:r>
      <w:r>
        <w:rPr>
          <w:rFonts w:asciiTheme="minorHAnsi" w:eastAsiaTheme="minorEastAsia" w:hAnsiTheme="minorHAnsi" w:cstheme="minorBidi"/>
          <w:noProof/>
          <w:sz w:val="24"/>
        </w:rPr>
        <w:tab/>
      </w:r>
      <w:r>
        <w:rPr>
          <w:noProof/>
        </w:rPr>
        <w:t>Dark Current</w:t>
      </w:r>
      <w:r>
        <w:rPr>
          <w:noProof/>
        </w:rPr>
        <w:tab/>
      </w:r>
      <w:r>
        <w:rPr>
          <w:noProof/>
        </w:rPr>
        <w:fldChar w:fldCharType="begin"/>
      </w:r>
      <w:r>
        <w:rPr>
          <w:noProof/>
        </w:rPr>
        <w:instrText xml:space="preserve"> PAGEREF _Toc322942180 \h </w:instrText>
      </w:r>
      <w:r w:rsidR="002559BD">
        <w:rPr>
          <w:noProof/>
        </w:rPr>
      </w:r>
      <w:r>
        <w:rPr>
          <w:noProof/>
        </w:rPr>
        <w:fldChar w:fldCharType="separate"/>
      </w:r>
      <w:r>
        <w:rPr>
          <w:noProof/>
        </w:rPr>
        <w:t>50</w:t>
      </w:r>
      <w:r>
        <w:rPr>
          <w:noProof/>
        </w:rPr>
        <w:fldChar w:fldCharType="end"/>
      </w:r>
    </w:p>
    <w:p w:rsidR="004B5BC0" w:rsidRDefault="004B5BC0">
      <w:pPr>
        <w:pStyle w:val="TOC2"/>
        <w:tabs>
          <w:tab w:val="left" w:pos="758"/>
          <w:tab w:val="right" w:leader="dot" w:pos="9350"/>
        </w:tabs>
        <w:rPr>
          <w:rFonts w:asciiTheme="minorHAnsi" w:eastAsiaTheme="minorEastAsia" w:hAnsiTheme="minorHAnsi" w:cstheme="minorBidi"/>
          <w:noProof/>
          <w:sz w:val="24"/>
        </w:rPr>
      </w:pPr>
      <w:r>
        <w:rPr>
          <w:noProof/>
        </w:rPr>
        <w:t>4.9</w:t>
      </w:r>
      <w:r>
        <w:rPr>
          <w:rFonts w:asciiTheme="minorHAnsi" w:eastAsiaTheme="minorEastAsia" w:hAnsiTheme="minorHAnsi" w:cstheme="minorBidi"/>
          <w:noProof/>
          <w:sz w:val="24"/>
        </w:rPr>
        <w:tab/>
      </w:r>
      <w:r>
        <w:rPr>
          <w:noProof/>
        </w:rPr>
        <w:t>Gain</w:t>
      </w:r>
      <w:r>
        <w:rPr>
          <w:noProof/>
        </w:rPr>
        <w:tab/>
      </w:r>
      <w:r>
        <w:rPr>
          <w:noProof/>
        </w:rPr>
        <w:fldChar w:fldCharType="begin"/>
      </w:r>
      <w:r>
        <w:rPr>
          <w:noProof/>
        </w:rPr>
        <w:instrText xml:space="preserve"> PAGEREF _Toc322942181 \h </w:instrText>
      </w:r>
      <w:r w:rsidR="002559BD">
        <w:rPr>
          <w:noProof/>
        </w:rPr>
      </w:r>
      <w:r>
        <w:rPr>
          <w:noProof/>
        </w:rPr>
        <w:fldChar w:fldCharType="separate"/>
      </w:r>
      <w:r>
        <w:rPr>
          <w:noProof/>
        </w:rPr>
        <w:t>51</w:t>
      </w:r>
      <w:r>
        <w:rPr>
          <w:noProof/>
        </w:rPr>
        <w:fldChar w:fldCharType="end"/>
      </w:r>
    </w:p>
    <w:p w:rsidR="004B5BC0" w:rsidRDefault="004B5BC0">
      <w:pPr>
        <w:pStyle w:val="TOC2"/>
        <w:tabs>
          <w:tab w:val="left" w:pos="869"/>
          <w:tab w:val="right" w:leader="dot" w:pos="9350"/>
        </w:tabs>
        <w:rPr>
          <w:rFonts w:asciiTheme="minorHAnsi" w:eastAsiaTheme="minorEastAsia" w:hAnsiTheme="minorHAnsi" w:cstheme="minorBidi"/>
          <w:noProof/>
          <w:sz w:val="24"/>
        </w:rPr>
      </w:pPr>
      <w:r>
        <w:rPr>
          <w:noProof/>
        </w:rPr>
        <w:t>4.10</w:t>
      </w:r>
      <w:r>
        <w:rPr>
          <w:rFonts w:asciiTheme="minorHAnsi" w:eastAsiaTheme="minorEastAsia" w:hAnsiTheme="minorHAnsi" w:cstheme="minorBidi"/>
          <w:noProof/>
          <w:sz w:val="24"/>
        </w:rPr>
        <w:tab/>
      </w:r>
      <w:r>
        <w:rPr>
          <w:noProof/>
        </w:rPr>
        <w:t>Saturation, Linearity, and Charge Bleeding</w:t>
      </w:r>
      <w:r>
        <w:rPr>
          <w:noProof/>
        </w:rPr>
        <w:tab/>
      </w:r>
      <w:r>
        <w:rPr>
          <w:noProof/>
        </w:rPr>
        <w:fldChar w:fldCharType="begin"/>
      </w:r>
      <w:r>
        <w:rPr>
          <w:noProof/>
        </w:rPr>
        <w:instrText xml:space="preserve"> PAGEREF _Toc322942182 \h </w:instrText>
      </w:r>
      <w:r w:rsidR="002559BD">
        <w:rPr>
          <w:noProof/>
        </w:rPr>
      </w:r>
      <w:r>
        <w:rPr>
          <w:noProof/>
        </w:rPr>
        <w:fldChar w:fldCharType="separate"/>
      </w:r>
      <w:r>
        <w:rPr>
          <w:noProof/>
        </w:rPr>
        <w:t>51</w:t>
      </w:r>
      <w:r>
        <w:rPr>
          <w:noProof/>
        </w:rPr>
        <w:fldChar w:fldCharType="end"/>
      </w:r>
    </w:p>
    <w:p w:rsidR="004B5BC0" w:rsidRDefault="004B5BC0">
      <w:pPr>
        <w:pStyle w:val="TOC2"/>
        <w:tabs>
          <w:tab w:val="left" w:pos="869"/>
          <w:tab w:val="right" w:leader="dot" w:pos="9350"/>
        </w:tabs>
        <w:rPr>
          <w:rFonts w:asciiTheme="minorHAnsi" w:eastAsiaTheme="minorEastAsia" w:hAnsiTheme="minorHAnsi" w:cstheme="minorBidi"/>
          <w:noProof/>
          <w:sz w:val="24"/>
        </w:rPr>
      </w:pPr>
      <w:r>
        <w:rPr>
          <w:noProof/>
        </w:rPr>
        <w:t>4.11</w:t>
      </w:r>
      <w:r>
        <w:rPr>
          <w:rFonts w:asciiTheme="minorHAnsi" w:eastAsiaTheme="minorEastAsia" w:hAnsiTheme="minorHAnsi" w:cstheme="minorBidi"/>
          <w:noProof/>
          <w:sz w:val="24"/>
        </w:rPr>
        <w:tab/>
      </w:r>
      <w:r>
        <w:rPr>
          <w:noProof/>
        </w:rPr>
        <w:t>A/D converter Differential Nonlinearity</w:t>
      </w:r>
      <w:r>
        <w:rPr>
          <w:noProof/>
        </w:rPr>
        <w:tab/>
      </w:r>
      <w:r>
        <w:rPr>
          <w:noProof/>
        </w:rPr>
        <w:fldChar w:fldCharType="begin"/>
      </w:r>
      <w:r>
        <w:rPr>
          <w:noProof/>
        </w:rPr>
        <w:instrText xml:space="preserve"> PAGEREF _Toc322942183 \h </w:instrText>
      </w:r>
      <w:r w:rsidR="002559BD">
        <w:rPr>
          <w:noProof/>
        </w:rPr>
      </w:r>
      <w:r>
        <w:rPr>
          <w:noProof/>
        </w:rPr>
        <w:fldChar w:fldCharType="separate"/>
      </w:r>
      <w:r>
        <w:rPr>
          <w:noProof/>
        </w:rPr>
        <w:t>53</w:t>
      </w:r>
      <w:r>
        <w:rPr>
          <w:noProof/>
        </w:rPr>
        <w:fldChar w:fldCharType="end"/>
      </w:r>
    </w:p>
    <w:p w:rsidR="004B5BC0" w:rsidRDefault="004B5BC0">
      <w:pPr>
        <w:pStyle w:val="TOC2"/>
        <w:tabs>
          <w:tab w:val="left" w:pos="869"/>
          <w:tab w:val="right" w:leader="dot" w:pos="9350"/>
        </w:tabs>
        <w:rPr>
          <w:rFonts w:asciiTheme="minorHAnsi" w:eastAsiaTheme="minorEastAsia" w:hAnsiTheme="minorHAnsi" w:cstheme="minorBidi"/>
          <w:noProof/>
          <w:sz w:val="24"/>
        </w:rPr>
      </w:pPr>
      <w:r>
        <w:rPr>
          <w:noProof/>
        </w:rPr>
        <w:t>4.12</w:t>
      </w:r>
      <w:r>
        <w:rPr>
          <w:rFonts w:asciiTheme="minorHAnsi" w:eastAsiaTheme="minorEastAsia" w:hAnsiTheme="minorHAnsi" w:cstheme="minorBidi"/>
          <w:noProof/>
          <w:sz w:val="24"/>
        </w:rPr>
        <w:tab/>
      </w:r>
      <w:r>
        <w:rPr>
          <w:noProof/>
        </w:rPr>
        <w:t>Inter-Pixel Response Nonuniformity</w:t>
      </w:r>
      <w:r>
        <w:rPr>
          <w:noProof/>
        </w:rPr>
        <w:tab/>
      </w:r>
      <w:r>
        <w:rPr>
          <w:noProof/>
        </w:rPr>
        <w:fldChar w:fldCharType="begin"/>
      </w:r>
      <w:r>
        <w:rPr>
          <w:noProof/>
        </w:rPr>
        <w:instrText xml:space="preserve"> PAGEREF _Toc322942184 \h </w:instrText>
      </w:r>
      <w:r w:rsidR="002559BD">
        <w:rPr>
          <w:noProof/>
        </w:rPr>
      </w:r>
      <w:r>
        <w:rPr>
          <w:noProof/>
        </w:rPr>
        <w:fldChar w:fldCharType="separate"/>
      </w:r>
      <w:r>
        <w:rPr>
          <w:noProof/>
        </w:rPr>
        <w:t>54</w:t>
      </w:r>
      <w:r>
        <w:rPr>
          <w:noProof/>
        </w:rPr>
        <w:fldChar w:fldCharType="end"/>
      </w:r>
    </w:p>
    <w:p w:rsidR="004B5BC0" w:rsidRDefault="004B5BC0">
      <w:pPr>
        <w:pStyle w:val="TOC2"/>
        <w:tabs>
          <w:tab w:val="left" w:pos="869"/>
          <w:tab w:val="right" w:leader="dot" w:pos="9350"/>
        </w:tabs>
        <w:rPr>
          <w:rFonts w:asciiTheme="minorHAnsi" w:eastAsiaTheme="minorEastAsia" w:hAnsiTheme="minorHAnsi" w:cstheme="minorBidi"/>
          <w:noProof/>
          <w:sz w:val="24"/>
        </w:rPr>
      </w:pPr>
      <w:r>
        <w:rPr>
          <w:noProof/>
        </w:rPr>
        <w:t>4.13</w:t>
      </w:r>
      <w:r>
        <w:rPr>
          <w:rFonts w:asciiTheme="minorHAnsi" w:eastAsiaTheme="minorEastAsia" w:hAnsiTheme="minorHAnsi" w:cstheme="minorBidi"/>
          <w:noProof/>
          <w:sz w:val="24"/>
        </w:rPr>
        <w:tab/>
      </w:r>
      <w:r>
        <w:rPr>
          <w:noProof/>
        </w:rPr>
        <w:t>Intrapixel Response Nonuniformity</w:t>
      </w:r>
      <w:r>
        <w:rPr>
          <w:noProof/>
        </w:rPr>
        <w:tab/>
      </w:r>
      <w:r>
        <w:rPr>
          <w:noProof/>
        </w:rPr>
        <w:fldChar w:fldCharType="begin"/>
      </w:r>
      <w:r>
        <w:rPr>
          <w:noProof/>
        </w:rPr>
        <w:instrText xml:space="preserve"> PAGEREF _Toc322942185 \h </w:instrText>
      </w:r>
      <w:r w:rsidR="002559BD">
        <w:rPr>
          <w:noProof/>
        </w:rPr>
      </w:r>
      <w:r>
        <w:rPr>
          <w:noProof/>
        </w:rPr>
        <w:fldChar w:fldCharType="separate"/>
      </w:r>
      <w:r>
        <w:rPr>
          <w:noProof/>
        </w:rPr>
        <w:t>56</w:t>
      </w:r>
      <w:r>
        <w:rPr>
          <w:noProof/>
        </w:rPr>
        <w:fldChar w:fldCharType="end"/>
      </w:r>
    </w:p>
    <w:p w:rsidR="004B5BC0" w:rsidRDefault="004B5BC0">
      <w:pPr>
        <w:pStyle w:val="TOC2"/>
        <w:tabs>
          <w:tab w:val="left" w:pos="869"/>
          <w:tab w:val="right" w:leader="dot" w:pos="9350"/>
        </w:tabs>
        <w:rPr>
          <w:rFonts w:asciiTheme="minorHAnsi" w:eastAsiaTheme="minorEastAsia" w:hAnsiTheme="minorHAnsi" w:cstheme="minorBidi"/>
          <w:noProof/>
          <w:sz w:val="24"/>
        </w:rPr>
      </w:pPr>
      <w:r>
        <w:rPr>
          <w:noProof/>
        </w:rPr>
        <w:t>4.14</w:t>
      </w:r>
      <w:r>
        <w:rPr>
          <w:rFonts w:asciiTheme="minorHAnsi" w:eastAsiaTheme="minorEastAsia" w:hAnsiTheme="minorHAnsi" w:cstheme="minorBidi"/>
          <w:noProof/>
          <w:sz w:val="24"/>
        </w:rPr>
        <w:tab/>
      </w:r>
      <w:r>
        <w:rPr>
          <w:noProof/>
        </w:rPr>
        <w:t>Flats</w:t>
      </w:r>
      <w:r>
        <w:rPr>
          <w:noProof/>
        </w:rPr>
        <w:tab/>
      </w:r>
      <w:r>
        <w:rPr>
          <w:noProof/>
        </w:rPr>
        <w:fldChar w:fldCharType="begin"/>
      </w:r>
      <w:r>
        <w:rPr>
          <w:noProof/>
        </w:rPr>
        <w:instrText xml:space="preserve"> PAGEREF _Toc322942186 \h </w:instrText>
      </w:r>
      <w:r w:rsidR="002559BD">
        <w:rPr>
          <w:noProof/>
        </w:rPr>
      </w:r>
      <w:r>
        <w:rPr>
          <w:noProof/>
        </w:rPr>
        <w:fldChar w:fldCharType="separate"/>
      </w:r>
      <w:r>
        <w:rPr>
          <w:noProof/>
        </w:rPr>
        <w:t>57</w:t>
      </w:r>
      <w:r>
        <w:rPr>
          <w:noProof/>
        </w:rPr>
        <w:fldChar w:fldCharType="end"/>
      </w:r>
    </w:p>
    <w:p w:rsidR="004B5BC0" w:rsidRDefault="004B5BC0">
      <w:pPr>
        <w:pStyle w:val="TOC2"/>
        <w:tabs>
          <w:tab w:val="left" w:pos="869"/>
          <w:tab w:val="right" w:leader="dot" w:pos="9350"/>
        </w:tabs>
        <w:rPr>
          <w:rFonts w:asciiTheme="minorHAnsi" w:eastAsiaTheme="minorEastAsia" w:hAnsiTheme="minorHAnsi" w:cstheme="minorBidi"/>
          <w:noProof/>
          <w:sz w:val="24"/>
        </w:rPr>
      </w:pPr>
      <w:r>
        <w:rPr>
          <w:noProof/>
        </w:rPr>
        <w:t>4.15</w:t>
      </w:r>
      <w:r>
        <w:rPr>
          <w:rFonts w:asciiTheme="minorHAnsi" w:eastAsiaTheme="minorEastAsia" w:hAnsiTheme="minorHAnsi" w:cstheme="minorBidi"/>
          <w:noProof/>
          <w:sz w:val="24"/>
        </w:rPr>
        <w:tab/>
      </w:r>
      <w:r>
        <w:rPr>
          <w:noProof/>
        </w:rPr>
        <w:t>Bad Pixels</w:t>
      </w:r>
      <w:r>
        <w:rPr>
          <w:noProof/>
        </w:rPr>
        <w:tab/>
      </w:r>
      <w:r>
        <w:rPr>
          <w:noProof/>
        </w:rPr>
        <w:fldChar w:fldCharType="begin"/>
      </w:r>
      <w:r>
        <w:rPr>
          <w:noProof/>
        </w:rPr>
        <w:instrText xml:space="preserve"> PAGEREF _Toc322942187 \h </w:instrText>
      </w:r>
      <w:r w:rsidR="002559BD">
        <w:rPr>
          <w:noProof/>
        </w:rPr>
      </w:r>
      <w:r>
        <w:rPr>
          <w:noProof/>
        </w:rPr>
        <w:fldChar w:fldCharType="separate"/>
      </w:r>
      <w:r>
        <w:rPr>
          <w:noProof/>
        </w:rPr>
        <w:t>57</w:t>
      </w:r>
      <w:r>
        <w:rPr>
          <w:noProof/>
        </w:rPr>
        <w:fldChar w:fldCharType="end"/>
      </w:r>
    </w:p>
    <w:p w:rsidR="004B5BC0" w:rsidRDefault="004B5BC0">
      <w:pPr>
        <w:pStyle w:val="TOC2"/>
        <w:tabs>
          <w:tab w:val="left" w:pos="869"/>
          <w:tab w:val="right" w:leader="dot" w:pos="9350"/>
        </w:tabs>
        <w:rPr>
          <w:rFonts w:asciiTheme="minorHAnsi" w:eastAsiaTheme="minorEastAsia" w:hAnsiTheme="minorHAnsi" w:cstheme="minorBidi"/>
          <w:noProof/>
          <w:sz w:val="24"/>
        </w:rPr>
      </w:pPr>
      <w:r>
        <w:rPr>
          <w:noProof/>
        </w:rPr>
        <w:t>4.16</w:t>
      </w:r>
      <w:r>
        <w:rPr>
          <w:rFonts w:asciiTheme="minorHAnsi" w:eastAsiaTheme="minorEastAsia" w:hAnsiTheme="minorHAnsi" w:cstheme="minorBidi"/>
          <w:noProof/>
          <w:sz w:val="24"/>
        </w:rPr>
        <w:tab/>
      </w:r>
      <w:r>
        <w:rPr>
          <w:noProof/>
        </w:rPr>
        <w:t>Cosmic Rays</w:t>
      </w:r>
      <w:r>
        <w:rPr>
          <w:noProof/>
        </w:rPr>
        <w:tab/>
      </w:r>
      <w:r>
        <w:rPr>
          <w:noProof/>
        </w:rPr>
        <w:fldChar w:fldCharType="begin"/>
      </w:r>
      <w:r>
        <w:rPr>
          <w:noProof/>
        </w:rPr>
        <w:instrText xml:space="preserve"> PAGEREF _Toc322942188 \h </w:instrText>
      </w:r>
      <w:r w:rsidR="002559BD">
        <w:rPr>
          <w:noProof/>
        </w:rPr>
      </w:r>
      <w:r>
        <w:rPr>
          <w:noProof/>
        </w:rPr>
        <w:fldChar w:fldCharType="separate"/>
      </w:r>
      <w:r>
        <w:rPr>
          <w:noProof/>
        </w:rPr>
        <w:t>58</w:t>
      </w:r>
      <w:r>
        <w:rPr>
          <w:noProof/>
        </w:rPr>
        <w:fldChar w:fldCharType="end"/>
      </w:r>
    </w:p>
    <w:p w:rsidR="004B5BC0" w:rsidRDefault="004B5BC0">
      <w:pPr>
        <w:pStyle w:val="TOC1"/>
        <w:tabs>
          <w:tab w:val="left" w:pos="407"/>
          <w:tab w:val="right" w:leader="dot" w:pos="9350"/>
        </w:tabs>
        <w:rPr>
          <w:rFonts w:asciiTheme="minorHAnsi" w:eastAsiaTheme="minorEastAsia" w:hAnsiTheme="minorHAnsi" w:cstheme="minorBidi"/>
          <w:noProof/>
          <w:sz w:val="24"/>
        </w:rPr>
      </w:pPr>
      <w:r>
        <w:rPr>
          <w:noProof/>
        </w:rPr>
        <w:t>5.</w:t>
      </w:r>
      <w:r>
        <w:rPr>
          <w:rFonts w:asciiTheme="minorHAnsi" w:eastAsiaTheme="minorEastAsia" w:hAnsiTheme="minorHAnsi" w:cstheme="minorBidi"/>
          <w:noProof/>
          <w:sz w:val="24"/>
        </w:rPr>
        <w:tab/>
      </w:r>
      <w:r>
        <w:rPr>
          <w:noProof/>
        </w:rPr>
        <w:t>Local Detector Electronics</w:t>
      </w:r>
      <w:r>
        <w:rPr>
          <w:noProof/>
        </w:rPr>
        <w:tab/>
      </w:r>
      <w:r>
        <w:rPr>
          <w:noProof/>
        </w:rPr>
        <w:fldChar w:fldCharType="begin"/>
      </w:r>
      <w:r>
        <w:rPr>
          <w:noProof/>
        </w:rPr>
        <w:instrText xml:space="preserve"> PAGEREF _Toc322942189 \h </w:instrText>
      </w:r>
      <w:r w:rsidR="002559BD">
        <w:rPr>
          <w:noProof/>
        </w:rPr>
      </w:r>
      <w:r>
        <w:rPr>
          <w:noProof/>
        </w:rPr>
        <w:fldChar w:fldCharType="separate"/>
      </w:r>
      <w:r>
        <w:rPr>
          <w:noProof/>
        </w:rPr>
        <w:t>61</w:t>
      </w:r>
      <w:r>
        <w:rPr>
          <w:noProof/>
        </w:rPr>
        <w:fldChar w:fldCharType="end"/>
      </w:r>
    </w:p>
    <w:p w:rsidR="004B5BC0" w:rsidRDefault="004B5BC0">
      <w:pPr>
        <w:pStyle w:val="TOC2"/>
        <w:tabs>
          <w:tab w:val="left" w:pos="758"/>
          <w:tab w:val="right" w:leader="dot" w:pos="9350"/>
        </w:tabs>
        <w:rPr>
          <w:rFonts w:asciiTheme="minorHAnsi" w:eastAsiaTheme="minorEastAsia" w:hAnsiTheme="minorHAnsi" w:cstheme="minorBidi"/>
          <w:noProof/>
          <w:sz w:val="24"/>
        </w:rPr>
      </w:pPr>
      <w:r>
        <w:rPr>
          <w:noProof/>
        </w:rPr>
        <w:t>5.1</w:t>
      </w:r>
      <w:r>
        <w:rPr>
          <w:rFonts w:asciiTheme="minorHAnsi" w:eastAsiaTheme="minorEastAsia" w:hAnsiTheme="minorHAnsi" w:cstheme="minorBidi"/>
          <w:noProof/>
          <w:sz w:val="24"/>
        </w:rPr>
        <w:tab/>
      </w:r>
      <w:r>
        <w:rPr>
          <w:noProof/>
        </w:rPr>
        <w:t>Description</w:t>
      </w:r>
      <w:r>
        <w:rPr>
          <w:noProof/>
        </w:rPr>
        <w:tab/>
      </w:r>
      <w:r>
        <w:rPr>
          <w:noProof/>
        </w:rPr>
        <w:fldChar w:fldCharType="begin"/>
      </w:r>
      <w:r>
        <w:rPr>
          <w:noProof/>
        </w:rPr>
        <w:instrText xml:space="preserve"> PAGEREF _Toc322942190 \h </w:instrText>
      </w:r>
      <w:r w:rsidR="002559BD">
        <w:rPr>
          <w:noProof/>
        </w:rPr>
      </w:r>
      <w:r>
        <w:rPr>
          <w:noProof/>
        </w:rPr>
        <w:fldChar w:fldCharType="separate"/>
      </w:r>
      <w:r>
        <w:rPr>
          <w:noProof/>
        </w:rPr>
        <w:t>61</w:t>
      </w:r>
      <w:r>
        <w:rPr>
          <w:noProof/>
        </w:rPr>
        <w:fldChar w:fldCharType="end"/>
      </w:r>
    </w:p>
    <w:p w:rsidR="004B5BC0" w:rsidRDefault="004B5BC0">
      <w:pPr>
        <w:pStyle w:val="TOC2"/>
        <w:tabs>
          <w:tab w:val="left" w:pos="758"/>
          <w:tab w:val="right" w:leader="dot" w:pos="9350"/>
        </w:tabs>
        <w:rPr>
          <w:rFonts w:asciiTheme="minorHAnsi" w:eastAsiaTheme="minorEastAsia" w:hAnsiTheme="minorHAnsi" w:cstheme="minorBidi"/>
          <w:noProof/>
          <w:sz w:val="24"/>
        </w:rPr>
      </w:pPr>
      <w:r>
        <w:rPr>
          <w:noProof/>
        </w:rPr>
        <w:t>5.2</w:t>
      </w:r>
      <w:r>
        <w:rPr>
          <w:rFonts w:asciiTheme="minorHAnsi" w:eastAsiaTheme="minorEastAsia" w:hAnsiTheme="minorHAnsi" w:cstheme="minorBidi"/>
          <w:noProof/>
          <w:sz w:val="24"/>
        </w:rPr>
        <w:tab/>
      </w:r>
      <w:r>
        <w:rPr>
          <w:noProof/>
        </w:rPr>
        <w:t>Clocks and Sampling</w:t>
      </w:r>
      <w:r>
        <w:rPr>
          <w:noProof/>
        </w:rPr>
        <w:tab/>
      </w:r>
      <w:r>
        <w:rPr>
          <w:noProof/>
        </w:rPr>
        <w:fldChar w:fldCharType="begin"/>
      </w:r>
      <w:r>
        <w:rPr>
          <w:noProof/>
        </w:rPr>
        <w:instrText xml:space="preserve"> PAGEREF _Toc322942191 \h </w:instrText>
      </w:r>
      <w:r w:rsidR="002559BD">
        <w:rPr>
          <w:noProof/>
        </w:rPr>
      </w:r>
      <w:r>
        <w:rPr>
          <w:noProof/>
        </w:rPr>
        <w:fldChar w:fldCharType="separate"/>
      </w:r>
      <w:r>
        <w:rPr>
          <w:noProof/>
        </w:rPr>
        <w:t>63</w:t>
      </w:r>
      <w:r>
        <w:rPr>
          <w:noProof/>
        </w:rPr>
        <w:fldChar w:fldCharType="end"/>
      </w:r>
    </w:p>
    <w:p w:rsidR="004B5BC0" w:rsidRDefault="004B5BC0">
      <w:pPr>
        <w:pStyle w:val="TOC1"/>
        <w:tabs>
          <w:tab w:val="left" w:pos="407"/>
          <w:tab w:val="right" w:leader="dot" w:pos="9350"/>
        </w:tabs>
        <w:rPr>
          <w:rFonts w:asciiTheme="minorHAnsi" w:eastAsiaTheme="minorEastAsia" w:hAnsiTheme="minorHAnsi" w:cstheme="minorBidi"/>
          <w:noProof/>
          <w:sz w:val="24"/>
        </w:rPr>
      </w:pPr>
      <w:r>
        <w:rPr>
          <w:noProof/>
        </w:rPr>
        <w:t>6.</w:t>
      </w:r>
      <w:r>
        <w:rPr>
          <w:rFonts w:asciiTheme="minorHAnsi" w:eastAsiaTheme="minorEastAsia" w:hAnsiTheme="minorHAnsi" w:cstheme="minorBidi"/>
          <w:noProof/>
          <w:sz w:val="24"/>
        </w:rPr>
        <w:tab/>
      </w:r>
      <w:r>
        <w:rPr>
          <w:noProof/>
        </w:rPr>
        <w:t>Electronic Image Artifacts and Their Mitigation</w:t>
      </w:r>
      <w:r>
        <w:rPr>
          <w:noProof/>
        </w:rPr>
        <w:tab/>
      </w:r>
      <w:r>
        <w:rPr>
          <w:noProof/>
        </w:rPr>
        <w:fldChar w:fldCharType="begin"/>
      </w:r>
      <w:r>
        <w:rPr>
          <w:noProof/>
        </w:rPr>
        <w:instrText xml:space="preserve"> PAGEREF _Toc322942192 \h </w:instrText>
      </w:r>
      <w:r w:rsidR="002559BD">
        <w:rPr>
          <w:noProof/>
        </w:rPr>
      </w:r>
      <w:r>
        <w:rPr>
          <w:noProof/>
        </w:rPr>
        <w:fldChar w:fldCharType="separate"/>
      </w:r>
      <w:r>
        <w:rPr>
          <w:noProof/>
        </w:rPr>
        <w:t>65</w:t>
      </w:r>
      <w:r>
        <w:rPr>
          <w:noProof/>
        </w:rPr>
        <w:fldChar w:fldCharType="end"/>
      </w:r>
    </w:p>
    <w:p w:rsidR="004B5BC0" w:rsidRDefault="004B5BC0">
      <w:pPr>
        <w:pStyle w:val="TOC2"/>
        <w:tabs>
          <w:tab w:val="left" w:pos="758"/>
          <w:tab w:val="right" w:leader="dot" w:pos="9350"/>
        </w:tabs>
        <w:rPr>
          <w:rFonts w:asciiTheme="minorHAnsi" w:eastAsiaTheme="minorEastAsia" w:hAnsiTheme="minorHAnsi" w:cstheme="minorBidi"/>
          <w:noProof/>
          <w:sz w:val="24"/>
        </w:rPr>
      </w:pPr>
      <w:r>
        <w:rPr>
          <w:noProof/>
        </w:rPr>
        <w:t>6.1</w:t>
      </w:r>
      <w:r>
        <w:rPr>
          <w:rFonts w:asciiTheme="minorHAnsi" w:eastAsiaTheme="minorEastAsia" w:hAnsiTheme="minorHAnsi" w:cstheme="minorBidi"/>
          <w:noProof/>
          <w:sz w:val="24"/>
        </w:rPr>
        <w:tab/>
      </w:r>
      <w:r>
        <w:rPr>
          <w:noProof/>
        </w:rPr>
        <w:t>LDE Temperature</w:t>
      </w:r>
      <w:r>
        <w:rPr>
          <w:noProof/>
        </w:rPr>
        <w:tab/>
      </w:r>
      <w:r>
        <w:rPr>
          <w:noProof/>
        </w:rPr>
        <w:fldChar w:fldCharType="begin"/>
      </w:r>
      <w:r>
        <w:rPr>
          <w:noProof/>
        </w:rPr>
        <w:instrText xml:space="preserve"> PAGEREF _Toc322942193 \h </w:instrText>
      </w:r>
      <w:r w:rsidR="002559BD">
        <w:rPr>
          <w:noProof/>
        </w:rPr>
      </w:r>
      <w:r>
        <w:rPr>
          <w:noProof/>
        </w:rPr>
        <w:fldChar w:fldCharType="separate"/>
      </w:r>
      <w:r>
        <w:rPr>
          <w:noProof/>
        </w:rPr>
        <w:t>65</w:t>
      </w:r>
      <w:r>
        <w:rPr>
          <w:noProof/>
        </w:rPr>
        <w:fldChar w:fldCharType="end"/>
      </w:r>
    </w:p>
    <w:p w:rsidR="004B5BC0" w:rsidRDefault="004B5BC0">
      <w:pPr>
        <w:pStyle w:val="TOC2"/>
        <w:tabs>
          <w:tab w:val="left" w:pos="758"/>
          <w:tab w:val="right" w:leader="dot" w:pos="9350"/>
        </w:tabs>
        <w:rPr>
          <w:rFonts w:asciiTheme="minorHAnsi" w:eastAsiaTheme="minorEastAsia" w:hAnsiTheme="minorHAnsi" w:cstheme="minorBidi"/>
          <w:noProof/>
          <w:sz w:val="24"/>
        </w:rPr>
      </w:pPr>
      <w:r>
        <w:rPr>
          <w:noProof/>
        </w:rPr>
        <w:t>6.2</w:t>
      </w:r>
      <w:r>
        <w:rPr>
          <w:rFonts w:asciiTheme="minorHAnsi" w:eastAsiaTheme="minorEastAsia" w:hAnsiTheme="minorHAnsi" w:cstheme="minorBidi"/>
          <w:noProof/>
          <w:sz w:val="24"/>
        </w:rPr>
        <w:tab/>
      </w:r>
      <w:r>
        <w:rPr>
          <w:noProof/>
        </w:rPr>
        <w:t xml:space="preserve">FGS </w:t>
      </w:r>
      <w:r w:rsidRPr="00394F88">
        <w:rPr>
          <w:noProof/>
          <w:sz w:val="22"/>
        </w:rPr>
        <w:sym w:font="Wingdings" w:char="F0E0"/>
      </w:r>
      <w:r>
        <w:rPr>
          <w:noProof/>
        </w:rPr>
        <w:t xml:space="preserve"> Science Clock Crosstalk</w:t>
      </w:r>
      <w:r>
        <w:rPr>
          <w:noProof/>
        </w:rPr>
        <w:tab/>
      </w:r>
      <w:r>
        <w:rPr>
          <w:noProof/>
        </w:rPr>
        <w:fldChar w:fldCharType="begin"/>
      </w:r>
      <w:r>
        <w:rPr>
          <w:noProof/>
        </w:rPr>
        <w:instrText xml:space="preserve"> PAGEREF _Toc322942194 \h </w:instrText>
      </w:r>
      <w:r w:rsidR="002559BD">
        <w:rPr>
          <w:noProof/>
        </w:rPr>
      </w:r>
      <w:r>
        <w:rPr>
          <w:noProof/>
        </w:rPr>
        <w:fldChar w:fldCharType="separate"/>
      </w:r>
      <w:r>
        <w:rPr>
          <w:noProof/>
        </w:rPr>
        <w:t>66</w:t>
      </w:r>
      <w:r>
        <w:rPr>
          <w:noProof/>
        </w:rPr>
        <w:fldChar w:fldCharType="end"/>
      </w:r>
    </w:p>
    <w:p w:rsidR="004B5BC0" w:rsidRDefault="004B5BC0">
      <w:pPr>
        <w:pStyle w:val="TOC3"/>
        <w:tabs>
          <w:tab w:val="left" w:pos="1165"/>
          <w:tab w:val="right" w:leader="dot" w:pos="9350"/>
        </w:tabs>
        <w:rPr>
          <w:rFonts w:asciiTheme="minorHAnsi" w:eastAsiaTheme="minorEastAsia" w:hAnsiTheme="minorHAnsi" w:cstheme="minorBidi"/>
          <w:noProof/>
          <w:sz w:val="24"/>
        </w:rPr>
      </w:pPr>
      <w:r>
        <w:rPr>
          <w:noProof/>
        </w:rPr>
        <w:t>6.2.1</w:t>
      </w:r>
      <w:r>
        <w:rPr>
          <w:rFonts w:asciiTheme="minorHAnsi" w:eastAsiaTheme="minorEastAsia" w:hAnsiTheme="minorHAnsi" w:cstheme="minorBidi"/>
          <w:noProof/>
          <w:sz w:val="24"/>
        </w:rPr>
        <w:tab/>
      </w:r>
      <w:r>
        <w:rPr>
          <w:noProof/>
        </w:rPr>
        <w:t>Description</w:t>
      </w:r>
      <w:r>
        <w:rPr>
          <w:noProof/>
        </w:rPr>
        <w:tab/>
      </w:r>
      <w:r>
        <w:rPr>
          <w:noProof/>
        </w:rPr>
        <w:fldChar w:fldCharType="begin"/>
      </w:r>
      <w:r>
        <w:rPr>
          <w:noProof/>
        </w:rPr>
        <w:instrText xml:space="preserve"> PAGEREF _Toc322942195 \h </w:instrText>
      </w:r>
      <w:r w:rsidR="002559BD">
        <w:rPr>
          <w:noProof/>
        </w:rPr>
      </w:r>
      <w:r>
        <w:rPr>
          <w:noProof/>
        </w:rPr>
        <w:fldChar w:fldCharType="separate"/>
      </w:r>
      <w:r>
        <w:rPr>
          <w:noProof/>
        </w:rPr>
        <w:t>66</w:t>
      </w:r>
      <w:r>
        <w:rPr>
          <w:noProof/>
        </w:rPr>
        <w:fldChar w:fldCharType="end"/>
      </w:r>
    </w:p>
    <w:p w:rsidR="004B5BC0" w:rsidRDefault="004B5BC0">
      <w:pPr>
        <w:pStyle w:val="TOC3"/>
        <w:tabs>
          <w:tab w:val="left" w:pos="1165"/>
          <w:tab w:val="right" w:leader="dot" w:pos="9350"/>
        </w:tabs>
        <w:rPr>
          <w:rFonts w:asciiTheme="minorHAnsi" w:eastAsiaTheme="minorEastAsia" w:hAnsiTheme="minorHAnsi" w:cstheme="minorBidi"/>
          <w:noProof/>
          <w:sz w:val="24"/>
        </w:rPr>
      </w:pPr>
      <w:r>
        <w:rPr>
          <w:noProof/>
        </w:rPr>
        <w:t>6.2.2</w:t>
      </w:r>
      <w:r>
        <w:rPr>
          <w:rFonts w:asciiTheme="minorHAnsi" w:eastAsiaTheme="minorEastAsia" w:hAnsiTheme="minorHAnsi" w:cstheme="minorBidi"/>
          <w:noProof/>
          <w:sz w:val="24"/>
        </w:rPr>
        <w:tab/>
      </w:r>
      <w:r>
        <w:rPr>
          <w:noProof/>
        </w:rPr>
        <w:t>Photometric Consequences</w:t>
      </w:r>
      <w:r>
        <w:rPr>
          <w:noProof/>
        </w:rPr>
        <w:tab/>
      </w:r>
      <w:r>
        <w:rPr>
          <w:noProof/>
        </w:rPr>
        <w:fldChar w:fldCharType="begin"/>
      </w:r>
      <w:r>
        <w:rPr>
          <w:noProof/>
        </w:rPr>
        <w:instrText xml:space="preserve"> PAGEREF _Toc322942196 \h </w:instrText>
      </w:r>
      <w:r w:rsidR="002559BD">
        <w:rPr>
          <w:noProof/>
        </w:rPr>
      </w:r>
      <w:r>
        <w:rPr>
          <w:noProof/>
        </w:rPr>
        <w:fldChar w:fldCharType="separate"/>
      </w:r>
      <w:r>
        <w:rPr>
          <w:noProof/>
        </w:rPr>
        <w:t>68</w:t>
      </w:r>
      <w:r>
        <w:rPr>
          <w:noProof/>
        </w:rPr>
        <w:fldChar w:fldCharType="end"/>
      </w:r>
    </w:p>
    <w:p w:rsidR="004B5BC0" w:rsidRDefault="004B5BC0">
      <w:pPr>
        <w:pStyle w:val="TOC3"/>
        <w:tabs>
          <w:tab w:val="left" w:pos="1165"/>
          <w:tab w:val="right" w:leader="dot" w:pos="9350"/>
        </w:tabs>
        <w:rPr>
          <w:rFonts w:asciiTheme="minorHAnsi" w:eastAsiaTheme="minorEastAsia" w:hAnsiTheme="minorHAnsi" w:cstheme="minorBidi"/>
          <w:noProof/>
          <w:sz w:val="24"/>
        </w:rPr>
      </w:pPr>
      <w:r>
        <w:rPr>
          <w:noProof/>
        </w:rPr>
        <w:t>6.2.3</w:t>
      </w:r>
      <w:r>
        <w:rPr>
          <w:rFonts w:asciiTheme="minorHAnsi" w:eastAsiaTheme="minorEastAsia" w:hAnsiTheme="minorHAnsi" w:cstheme="minorBidi"/>
          <w:noProof/>
          <w:sz w:val="24"/>
        </w:rPr>
        <w:tab/>
      </w:r>
      <w:r>
        <w:rPr>
          <w:noProof/>
        </w:rPr>
        <w:t>Mitigation</w:t>
      </w:r>
      <w:r>
        <w:rPr>
          <w:noProof/>
        </w:rPr>
        <w:tab/>
      </w:r>
      <w:r>
        <w:rPr>
          <w:noProof/>
        </w:rPr>
        <w:fldChar w:fldCharType="begin"/>
      </w:r>
      <w:r>
        <w:rPr>
          <w:noProof/>
        </w:rPr>
        <w:instrText xml:space="preserve"> PAGEREF _Toc322942197 \h </w:instrText>
      </w:r>
      <w:r w:rsidR="002559BD">
        <w:rPr>
          <w:noProof/>
        </w:rPr>
      </w:r>
      <w:r>
        <w:rPr>
          <w:noProof/>
        </w:rPr>
        <w:fldChar w:fldCharType="separate"/>
      </w:r>
      <w:r>
        <w:rPr>
          <w:noProof/>
        </w:rPr>
        <w:t>68</w:t>
      </w:r>
      <w:r>
        <w:rPr>
          <w:noProof/>
        </w:rPr>
        <w:fldChar w:fldCharType="end"/>
      </w:r>
    </w:p>
    <w:p w:rsidR="004B5BC0" w:rsidRDefault="004B5BC0">
      <w:pPr>
        <w:pStyle w:val="TOC2"/>
        <w:tabs>
          <w:tab w:val="left" w:pos="758"/>
          <w:tab w:val="right" w:leader="dot" w:pos="9350"/>
        </w:tabs>
        <w:rPr>
          <w:rFonts w:asciiTheme="minorHAnsi" w:eastAsiaTheme="minorEastAsia" w:hAnsiTheme="minorHAnsi" w:cstheme="minorBidi"/>
          <w:noProof/>
          <w:sz w:val="24"/>
        </w:rPr>
      </w:pPr>
      <w:r>
        <w:rPr>
          <w:noProof/>
        </w:rPr>
        <w:t>6.3</w:t>
      </w:r>
      <w:r>
        <w:rPr>
          <w:rFonts w:asciiTheme="minorHAnsi" w:eastAsiaTheme="minorEastAsia" w:hAnsiTheme="minorHAnsi" w:cstheme="minorBidi"/>
          <w:noProof/>
          <w:sz w:val="24"/>
        </w:rPr>
        <w:tab/>
      </w:r>
      <w:r>
        <w:rPr>
          <w:noProof/>
        </w:rPr>
        <w:t>Video Crosstalk</w:t>
      </w:r>
      <w:r>
        <w:rPr>
          <w:noProof/>
        </w:rPr>
        <w:tab/>
      </w:r>
      <w:r>
        <w:rPr>
          <w:noProof/>
        </w:rPr>
        <w:fldChar w:fldCharType="begin"/>
      </w:r>
      <w:r>
        <w:rPr>
          <w:noProof/>
        </w:rPr>
        <w:instrText xml:space="preserve"> PAGEREF _Toc322942198 \h </w:instrText>
      </w:r>
      <w:r w:rsidR="002559BD">
        <w:rPr>
          <w:noProof/>
        </w:rPr>
      </w:r>
      <w:r>
        <w:rPr>
          <w:noProof/>
        </w:rPr>
        <w:fldChar w:fldCharType="separate"/>
      </w:r>
      <w:r>
        <w:rPr>
          <w:noProof/>
        </w:rPr>
        <w:t>69</w:t>
      </w:r>
      <w:r>
        <w:rPr>
          <w:noProof/>
        </w:rPr>
        <w:fldChar w:fldCharType="end"/>
      </w:r>
    </w:p>
    <w:p w:rsidR="004B5BC0" w:rsidRDefault="004B5BC0">
      <w:pPr>
        <w:pStyle w:val="TOC2"/>
        <w:tabs>
          <w:tab w:val="left" w:pos="758"/>
          <w:tab w:val="right" w:leader="dot" w:pos="9350"/>
        </w:tabs>
        <w:rPr>
          <w:rFonts w:asciiTheme="minorHAnsi" w:eastAsiaTheme="minorEastAsia" w:hAnsiTheme="minorHAnsi" w:cstheme="minorBidi"/>
          <w:noProof/>
          <w:sz w:val="24"/>
        </w:rPr>
      </w:pPr>
      <w:r>
        <w:rPr>
          <w:noProof/>
        </w:rPr>
        <w:t>6.4</w:t>
      </w:r>
      <w:r>
        <w:rPr>
          <w:rFonts w:asciiTheme="minorHAnsi" w:eastAsiaTheme="minorEastAsia" w:hAnsiTheme="minorHAnsi" w:cstheme="minorBidi"/>
          <w:noProof/>
          <w:sz w:val="24"/>
        </w:rPr>
        <w:tab/>
      </w:r>
      <w:r>
        <w:rPr>
          <w:noProof/>
        </w:rPr>
        <w:t>Science Clock and Video Crosstalk into FGS</w:t>
      </w:r>
      <w:r>
        <w:rPr>
          <w:noProof/>
        </w:rPr>
        <w:tab/>
      </w:r>
      <w:r>
        <w:rPr>
          <w:noProof/>
        </w:rPr>
        <w:fldChar w:fldCharType="begin"/>
      </w:r>
      <w:r>
        <w:rPr>
          <w:noProof/>
        </w:rPr>
        <w:instrText xml:space="preserve"> PAGEREF _Toc322942199 \h </w:instrText>
      </w:r>
      <w:r w:rsidR="002559BD">
        <w:rPr>
          <w:noProof/>
        </w:rPr>
      </w:r>
      <w:r>
        <w:rPr>
          <w:noProof/>
        </w:rPr>
        <w:fldChar w:fldCharType="separate"/>
      </w:r>
      <w:r>
        <w:rPr>
          <w:noProof/>
        </w:rPr>
        <w:t>70</w:t>
      </w:r>
      <w:r>
        <w:rPr>
          <w:noProof/>
        </w:rPr>
        <w:fldChar w:fldCharType="end"/>
      </w:r>
    </w:p>
    <w:p w:rsidR="004B5BC0" w:rsidRDefault="004B5BC0">
      <w:pPr>
        <w:pStyle w:val="TOC2"/>
        <w:tabs>
          <w:tab w:val="left" w:pos="758"/>
          <w:tab w:val="right" w:leader="dot" w:pos="9350"/>
        </w:tabs>
        <w:rPr>
          <w:rFonts w:asciiTheme="minorHAnsi" w:eastAsiaTheme="minorEastAsia" w:hAnsiTheme="minorHAnsi" w:cstheme="minorBidi"/>
          <w:noProof/>
          <w:sz w:val="24"/>
        </w:rPr>
      </w:pPr>
      <w:r>
        <w:rPr>
          <w:noProof/>
        </w:rPr>
        <w:t>6.5</w:t>
      </w:r>
      <w:r>
        <w:rPr>
          <w:rFonts w:asciiTheme="minorHAnsi" w:eastAsiaTheme="minorEastAsia" w:hAnsiTheme="minorHAnsi" w:cstheme="minorBidi"/>
          <w:noProof/>
          <w:sz w:val="24"/>
        </w:rPr>
        <w:tab/>
      </w:r>
      <w:r>
        <w:rPr>
          <w:noProof/>
        </w:rPr>
        <w:t>Start-of-Line Ringing</w:t>
      </w:r>
      <w:r>
        <w:rPr>
          <w:noProof/>
        </w:rPr>
        <w:tab/>
      </w:r>
      <w:r>
        <w:rPr>
          <w:noProof/>
        </w:rPr>
        <w:fldChar w:fldCharType="begin"/>
      </w:r>
      <w:r>
        <w:rPr>
          <w:noProof/>
        </w:rPr>
        <w:instrText xml:space="preserve"> PAGEREF _Toc322942200 \h </w:instrText>
      </w:r>
      <w:r w:rsidR="002559BD">
        <w:rPr>
          <w:noProof/>
        </w:rPr>
      </w:r>
      <w:r>
        <w:rPr>
          <w:noProof/>
        </w:rPr>
        <w:fldChar w:fldCharType="separate"/>
      </w:r>
      <w:r>
        <w:rPr>
          <w:noProof/>
        </w:rPr>
        <w:t>70</w:t>
      </w:r>
      <w:r>
        <w:rPr>
          <w:noProof/>
        </w:rPr>
        <w:fldChar w:fldCharType="end"/>
      </w:r>
    </w:p>
    <w:p w:rsidR="004B5BC0" w:rsidRDefault="004B5BC0">
      <w:pPr>
        <w:pStyle w:val="TOC3"/>
        <w:tabs>
          <w:tab w:val="left" w:pos="1165"/>
          <w:tab w:val="right" w:leader="dot" w:pos="9350"/>
        </w:tabs>
        <w:rPr>
          <w:rFonts w:asciiTheme="minorHAnsi" w:eastAsiaTheme="minorEastAsia" w:hAnsiTheme="minorHAnsi" w:cstheme="minorBidi"/>
          <w:noProof/>
          <w:sz w:val="24"/>
        </w:rPr>
      </w:pPr>
      <w:r>
        <w:rPr>
          <w:noProof/>
        </w:rPr>
        <w:t>6.5.1</w:t>
      </w:r>
      <w:r>
        <w:rPr>
          <w:rFonts w:asciiTheme="minorHAnsi" w:eastAsiaTheme="minorEastAsia" w:hAnsiTheme="minorHAnsi" w:cstheme="minorBidi"/>
          <w:noProof/>
          <w:sz w:val="24"/>
        </w:rPr>
        <w:tab/>
      </w:r>
      <w:r>
        <w:rPr>
          <w:noProof/>
        </w:rPr>
        <w:t>Description</w:t>
      </w:r>
      <w:r>
        <w:rPr>
          <w:noProof/>
        </w:rPr>
        <w:tab/>
      </w:r>
      <w:r>
        <w:rPr>
          <w:noProof/>
        </w:rPr>
        <w:fldChar w:fldCharType="begin"/>
      </w:r>
      <w:r>
        <w:rPr>
          <w:noProof/>
        </w:rPr>
        <w:instrText xml:space="preserve"> PAGEREF _Toc322942201 \h </w:instrText>
      </w:r>
      <w:r w:rsidR="002559BD">
        <w:rPr>
          <w:noProof/>
        </w:rPr>
      </w:r>
      <w:r>
        <w:rPr>
          <w:noProof/>
        </w:rPr>
        <w:fldChar w:fldCharType="separate"/>
      </w:r>
      <w:r>
        <w:rPr>
          <w:noProof/>
        </w:rPr>
        <w:t>70</w:t>
      </w:r>
      <w:r>
        <w:rPr>
          <w:noProof/>
        </w:rPr>
        <w:fldChar w:fldCharType="end"/>
      </w:r>
    </w:p>
    <w:p w:rsidR="004B5BC0" w:rsidRDefault="004B5BC0">
      <w:pPr>
        <w:pStyle w:val="TOC3"/>
        <w:tabs>
          <w:tab w:val="left" w:pos="1165"/>
          <w:tab w:val="right" w:leader="dot" w:pos="9350"/>
        </w:tabs>
        <w:rPr>
          <w:rFonts w:asciiTheme="minorHAnsi" w:eastAsiaTheme="minorEastAsia" w:hAnsiTheme="minorHAnsi" w:cstheme="minorBidi"/>
          <w:noProof/>
          <w:sz w:val="24"/>
        </w:rPr>
      </w:pPr>
      <w:r>
        <w:rPr>
          <w:noProof/>
        </w:rPr>
        <w:t>6.5.2</w:t>
      </w:r>
      <w:r>
        <w:rPr>
          <w:rFonts w:asciiTheme="minorHAnsi" w:eastAsiaTheme="minorEastAsia" w:hAnsiTheme="minorHAnsi" w:cstheme="minorBidi"/>
          <w:noProof/>
          <w:sz w:val="24"/>
        </w:rPr>
        <w:tab/>
      </w:r>
      <w:r>
        <w:rPr>
          <w:noProof/>
        </w:rPr>
        <w:t>Photometric Consequences</w:t>
      </w:r>
      <w:r>
        <w:rPr>
          <w:noProof/>
        </w:rPr>
        <w:tab/>
      </w:r>
      <w:r>
        <w:rPr>
          <w:noProof/>
        </w:rPr>
        <w:fldChar w:fldCharType="begin"/>
      </w:r>
      <w:r>
        <w:rPr>
          <w:noProof/>
        </w:rPr>
        <w:instrText xml:space="preserve"> PAGEREF _Toc322942202 \h </w:instrText>
      </w:r>
      <w:r w:rsidR="002559BD">
        <w:rPr>
          <w:noProof/>
        </w:rPr>
      </w:r>
      <w:r>
        <w:rPr>
          <w:noProof/>
        </w:rPr>
        <w:fldChar w:fldCharType="separate"/>
      </w:r>
      <w:r>
        <w:rPr>
          <w:noProof/>
        </w:rPr>
        <w:t>72</w:t>
      </w:r>
      <w:r>
        <w:rPr>
          <w:noProof/>
        </w:rPr>
        <w:fldChar w:fldCharType="end"/>
      </w:r>
    </w:p>
    <w:p w:rsidR="004B5BC0" w:rsidRDefault="004B5BC0">
      <w:pPr>
        <w:pStyle w:val="TOC3"/>
        <w:tabs>
          <w:tab w:val="left" w:pos="1165"/>
          <w:tab w:val="right" w:leader="dot" w:pos="9350"/>
        </w:tabs>
        <w:rPr>
          <w:rFonts w:asciiTheme="minorHAnsi" w:eastAsiaTheme="minorEastAsia" w:hAnsiTheme="minorHAnsi" w:cstheme="minorBidi"/>
          <w:noProof/>
          <w:sz w:val="24"/>
        </w:rPr>
      </w:pPr>
      <w:r>
        <w:rPr>
          <w:noProof/>
        </w:rPr>
        <w:t>6.5.3</w:t>
      </w:r>
      <w:r>
        <w:rPr>
          <w:rFonts w:asciiTheme="minorHAnsi" w:eastAsiaTheme="minorEastAsia" w:hAnsiTheme="minorHAnsi" w:cstheme="minorBidi"/>
          <w:noProof/>
          <w:sz w:val="24"/>
        </w:rPr>
        <w:tab/>
      </w:r>
      <w:r>
        <w:rPr>
          <w:noProof/>
        </w:rPr>
        <w:t>Mitigation</w:t>
      </w:r>
      <w:r>
        <w:rPr>
          <w:noProof/>
        </w:rPr>
        <w:tab/>
      </w:r>
      <w:r>
        <w:rPr>
          <w:noProof/>
        </w:rPr>
        <w:fldChar w:fldCharType="begin"/>
      </w:r>
      <w:r>
        <w:rPr>
          <w:noProof/>
        </w:rPr>
        <w:instrText xml:space="preserve"> PAGEREF _Toc322942203 \h </w:instrText>
      </w:r>
      <w:r w:rsidR="002559BD">
        <w:rPr>
          <w:noProof/>
        </w:rPr>
      </w:r>
      <w:r>
        <w:rPr>
          <w:noProof/>
        </w:rPr>
        <w:fldChar w:fldCharType="separate"/>
      </w:r>
      <w:r>
        <w:rPr>
          <w:noProof/>
        </w:rPr>
        <w:t>72</w:t>
      </w:r>
      <w:r>
        <w:rPr>
          <w:noProof/>
        </w:rPr>
        <w:fldChar w:fldCharType="end"/>
      </w:r>
    </w:p>
    <w:p w:rsidR="004B5BC0" w:rsidRDefault="004B5BC0">
      <w:pPr>
        <w:pStyle w:val="TOC2"/>
        <w:tabs>
          <w:tab w:val="left" w:pos="758"/>
          <w:tab w:val="right" w:leader="dot" w:pos="9350"/>
        </w:tabs>
        <w:rPr>
          <w:rFonts w:asciiTheme="minorHAnsi" w:eastAsiaTheme="minorEastAsia" w:hAnsiTheme="minorHAnsi" w:cstheme="minorBidi"/>
          <w:noProof/>
          <w:sz w:val="24"/>
        </w:rPr>
      </w:pPr>
      <w:r>
        <w:rPr>
          <w:noProof/>
        </w:rPr>
        <w:t>6.6</w:t>
      </w:r>
      <w:r>
        <w:rPr>
          <w:rFonts w:asciiTheme="minorHAnsi" w:eastAsiaTheme="minorEastAsia" w:hAnsiTheme="minorHAnsi" w:cstheme="minorBidi"/>
          <w:noProof/>
          <w:sz w:val="24"/>
        </w:rPr>
        <w:tab/>
      </w:r>
      <w:r>
        <w:rPr>
          <w:noProof/>
        </w:rPr>
        <w:t>Undershoot</w:t>
      </w:r>
      <w:r>
        <w:rPr>
          <w:noProof/>
        </w:rPr>
        <w:tab/>
      </w:r>
      <w:r>
        <w:rPr>
          <w:noProof/>
        </w:rPr>
        <w:fldChar w:fldCharType="begin"/>
      </w:r>
      <w:r>
        <w:rPr>
          <w:noProof/>
        </w:rPr>
        <w:instrText xml:space="preserve"> PAGEREF _Toc322942204 \h </w:instrText>
      </w:r>
      <w:r w:rsidR="002559BD">
        <w:rPr>
          <w:noProof/>
        </w:rPr>
      </w:r>
      <w:r>
        <w:rPr>
          <w:noProof/>
        </w:rPr>
        <w:fldChar w:fldCharType="separate"/>
      </w:r>
      <w:r>
        <w:rPr>
          <w:noProof/>
        </w:rPr>
        <w:t>72</w:t>
      </w:r>
      <w:r>
        <w:rPr>
          <w:noProof/>
        </w:rPr>
        <w:fldChar w:fldCharType="end"/>
      </w:r>
    </w:p>
    <w:p w:rsidR="004B5BC0" w:rsidRDefault="004B5BC0">
      <w:pPr>
        <w:pStyle w:val="TOC3"/>
        <w:tabs>
          <w:tab w:val="left" w:pos="1165"/>
          <w:tab w:val="right" w:leader="dot" w:pos="9350"/>
        </w:tabs>
        <w:rPr>
          <w:rFonts w:asciiTheme="minorHAnsi" w:eastAsiaTheme="minorEastAsia" w:hAnsiTheme="minorHAnsi" w:cstheme="minorBidi"/>
          <w:noProof/>
          <w:sz w:val="24"/>
        </w:rPr>
      </w:pPr>
      <w:r>
        <w:rPr>
          <w:noProof/>
        </w:rPr>
        <w:t>6.6.1</w:t>
      </w:r>
      <w:r>
        <w:rPr>
          <w:rFonts w:asciiTheme="minorHAnsi" w:eastAsiaTheme="minorEastAsia" w:hAnsiTheme="minorHAnsi" w:cstheme="minorBidi"/>
          <w:noProof/>
          <w:sz w:val="24"/>
        </w:rPr>
        <w:tab/>
      </w:r>
      <w:r>
        <w:rPr>
          <w:noProof/>
        </w:rPr>
        <w:t>Description</w:t>
      </w:r>
      <w:r>
        <w:rPr>
          <w:noProof/>
        </w:rPr>
        <w:tab/>
      </w:r>
      <w:r>
        <w:rPr>
          <w:noProof/>
        </w:rPr>
        <w:fldChar w:fldCharType="begin"/>
      </w:r>
      <w:r>
        <w:rPr>
          <w:noProof/>
        </w:rPr>
        <w:instrText xml:space="preserve"> PAGEREF _Toc322942205 \h </w:instrText>
      </w:r>
      <w:r w:rsidR="002559BD">
        <w:rPr>
          <w:noProof/>
        </w:rPr>
      </w:r>
      <w:r>
        <w:rPr>
          <w:noProof/>
        </w:rPr>
        <w:fldChar w:fldCharType="separate"/>
      </w:r>
      <w:r>
        <w:rPr>
          <w:noProof/>
        </w:rPr>
        <w:t>72</w:t>
      </w:r>
      <w:r>
        <w:rPr>
          <w:noProof/>
        </w:rPr>
        <w:fldChar w:fldCharType="end"/>
      </w:r>
    </w:p>
    <w:p w:rsidR="004B5BC0" w:rsidRDefault="004B5BC0">
      <w:pPr>
        <w:pStyle w:val="TOC3"/>
        <w:tabs>
          <w:tab w:val="left" w:pos="1165"/>
          <w:tab w:val="right" w:leader="dot" w:pos="9350"/>
        </w:tabs>
        <w:rPr>
          <w:rFonts w:asciiTheme="minorHAnsi" w:eastAsiaTheme="minorEastAsia" w:hAnsiTheme="minorHAnsi" w:cstheme="minorBidi"/>
          <w:noProof/>
          <w:sz w:val="24"/>
        </w:rPr>
      </w:pPr>
      <w:r>
        <w:rPr>
          <w:noProof/>
        </w:rPr>
        <w:t>6.6.2</w:t>
      </w:r>
      <w:r>
        <w:rPr>
          <w:rFonts w:asciiTheme="minorHAnsi" w:eastAsiaTheme="minorEastAsia" w:hAnsiTheme="minorHAnsi" w:cstheme="minorBidi"/>
          <w:noProof/>
          <w:sz w:val="24"/>
        </w:rPr>
        <w:tab/>
      </w:r>
      <w:r>
        <w:rPr>
          <w:noProof/>
        </w:rPr>
        <w:t>Photometric Consequences</w:t>
      </w:r>
      <w:r>
        <w:rPr>
          <w:noProof/>
        </w:rPr>
        <w:tab/>
      </w:r>
      <w:r>
        <w:rPr>
          <w:noProof/>
        </w:rPr>
        <w:fldChar w:fldCharType="begin"/>
      </w:r>
      <w:r>
        <w:rPr>
          <w:noProof/>
        </w:rPr>
        <w:instrText xml:space="preserve"> PAGEREF _Toc322942206 \h </w:instrText>
      </w:r>
      <w:r w:rsidR="002559BD">
        <w:rPr>
          <w:noProof/>
        </w:rPr>
      </w:r>
      <w:r>
        <w:rPr>
          <w:noProof/>
        </w:rPr>
        <w:fldChar w:fldCharType="separate"/>
      </w:r>
      <w:r>
        <w:rPr>
          <w:noProof/>
        </w:rPr>
        <w:t>74</w:t>
      </w:r>
      <w:r>
        <w:rPr>
          <w:noProof/>
        </w:rPr>
        <w:fldChar w:fldCharType="end"/>
      </w:r>
    </w:p>
    <w:p w:rsidR="004B5BC0" w:rsidRDefault="004B5BC0">
      <w:pPr>
        <w:pStyle w:val="TOC3"/>
        <w:tabs>
          <w:tab w:val="left" w:pos="1165"/>
          <w:tab w:val="right" w:leader="dot" w:pos="9350"/>
        </w:tabs>
        <w:rPr>
          <w:rFonts w:asciiTheme="minorHAnsi" w:eastAsiaTheme="minorEastAsia" w:hAnsiTheme="minorHAnsi" w:cstheme="minorBidi"/>
          <w:noProof/>
          <w:sz w:val="24"/>
        </w:rPr>
      </w:pPr>
      <w:r>
        <w:rPr>
          <w:noProof/>
        </w:rPr>
        <w:t>6.6.3</w:t>
      </w:r>
      <w:r>
        <w:rPr>
          <w:rFonts w:asciiTheme="minorHAnsi" w:eastAsiaTheme="minorEastAsia" w:hAnsiTheme="minorHAnsi" w:cstheme="minorBidi"/>
          <w:noProof/>
          <w:sz w:val="24"/>
        </w:rPr>
        <w:tab/>
      </w:r>
      <w:r>
        <w:rPr>
          <w:noProof/>
        </w:rPr>
        <w:t>Mitigation</w:t>
      </w:r>
      <w:r>
        <w:rPr>
          <w:noProof/>
        </w:rPr>
        <w:tab/>
      </w:r>
      <w:r>
        <w:rPr>
          <w:noProof/>
        </w:rPr>
        <w:fldChar w:fldCharType="begin"/>
      </w:r>
      <w:r>
        <w:rPr>
          <w:noProof/>
        </w:rPr>
        <w:instrText xml:space="preserve"> PAGEREF _Toc322942207 \h </w:instrText>
      </w:r>
      <w:r w:rsidR="002559BD">
        <w:rPr>
          <w:noProof/>
        </w:rPr>
      </w:r>
      <w:r>
        <w:rPr>
          <w:noProof/>
        </w:rPr>
        <w:fldChar w:fldCharType="separate"/>
      </w:r>
      <w:r>
        <w:rPr>
          <w:noProof/>
        </w:rPr>
        <w:t>75</w:t>
      </w:r>
      <w:r>
        <w:rPr>
          <w:noProof/>
        </w:rPr>
        <w:fldChar w:fldCharType="end"/>
      </w:r>
    </w:p>
    <w:p w:rsidR="004B5BC0" w:rsidRDefault="004B5BC0">
      <w:pPr>
        <w:pStyle w:val="TOC2"/>
        <w:tabs>
          <w:tab w:val="left" w:pos="758"/>
          <w:tab w:val="right" w:leader="dot" w:pos="9350"/>
        </w:tabs>
        <w:rPr>
          <w:rFonts w:asciiTheme="minorHAnsi" w:eastAsiaTheme="minorEastAsia" w:hAnsiTheme="minorHAnsi" w:cstheme="minorBidi"/>
          <w:noProof/>
          <w:sz w:val="24"/>
        </w:rPr>
      </w:pPr>
      <w:r>
        <w:rPr>
          <w:noProof/>
        </w:rPr>
        <w:t>6.7</w:t>
      </w:r>
      <w:r>
        <w:rPr>
          <w:rFonts w:asciiTheme="minorHAnsi" w:eastAsiaTheme="minorEastAsia" w:hAnsiTheme="minorHAnsi" w:cstheme="minorBidi"/>
          <w:noProof/>
          <w:sz w:val="24"/>
        </w:rPr>
        <w:tab/>
      </w:r>
      <w:r>
        <w:rPr>
          <w:noProof/>
        </w:rPr>
        <w:t>Aliased High Frequency Noise</w:t>
      </w:r>
      <w:r>
        <w:rPr>
          <w:noProof/>
        </w:rPr>
        <w:tab/>
      </w:r>
      <w:r>
        <w:rPr>
          <w:noProof/>
        </w:rPr>
        <w:fldChar w:fldCharType="begin"/>
      </w:r>
      <w:r>
        <w:rPr>
          <w:noProof/>
        </w:rPr>
        <w:instrText xml:space="preserve"> PAGEREF _Toc322942208 \h </w:instrText>
      </w:r>
      <w:r w:rsidR="002559BD">
        <w:rPr>
          <w:noProof/>
        </w:rPr>
      </w:r>
      <w:r>
        <w:rPr>
          <w:noProof/>
        </w:rPr>
        <w:fldChar w:fldCharType="separate"/>
      </w:r>
      <w:r>
        <w:rPr>
          <w:noProof/>
        </w:rPr>
        <w:t>75</w:t>
      </w:r>
      <w:r>
        <w:rPr>
          <w:noProof/>
        </w:rPr>
        <w:fldChar w:fldCharType="end"/>
      </w:r>
    </w:p>
    <w:p w:rsidR="004B5BC0" w:rsidRDefault="004B5BC0">
      <w:pPr>
        <w:pStyle w:val="TOC3"/>
        <w:tabs>
          <w:tab w:val="left" w:pos="1165"/>
          <w:tab w:val="right" w:leader="dot" w:pos="9350"/>
        </w:tabs>
        <w:rPr>
          <w:rFonts w:asciiTheme="minorHAnsi" w:eastAsiaTheme="minorEastAsia" w:hAnsiTheme="minorHAnsi" w:cstheme="minorBidi"/>
          <w:noProof/>
          <w:sz w:val="24"/>
        </w:rPr>
      </w:pPr>
      <w:r>
        <w:rPr>
          <w:noProof/>
        </w:rPr>
        <w:t>6.7.1</w:t>
      </w:r>
      <w:r>
        <w:rPr>
          <w:rFonts w:asciiTheme="minorHAnsi" w:eastAsiaTheme="minorEastAsia" w:hAnsiTheme="minorHAnsi" w:cstheme="minorBidi"/>
          <w:noProof/>
          <w:sz w:val="24"/>
        </w:rPr>
        <w:tab/>
      </w:r>
      <w:r>
        <w:rPr>
          <w:noProof/>
        </w:rPr>
        <w:t>Aliased to near-Zero Spatial Frequency:  Rolling Bands</w:t>
      </w:r>
      <w:r>
        <w:rPr>
          <w:noProof/>
        </w:rPr>
        <w:tab/>
      </w:r>
      <w:r>
        <w:rPr>
          <w:noProof/>
        </w:rPr>
        <w:fldChar w:fldCharType="begin"/>
      </w:r>
      <w:r>
        <w:rPr>
          <w:noProof/>
        </w:rPr>
        <w:instrText xml:space="preserve"> PAGEREF _Toc322942209 \h </w:instrText>
      </w:r>
      <w:r w:rsidR="002559BD">
        <w:rPr>
          <w:noProof/>
        </w:rPr>
      </w:r>
      <w:r>
        <w:rPr>
          <w:noProof/>
        </w:rPr>
        <w:fldChar w:fldCharType="separate"/>
      </w:r>
      <w:r>
        <w:rPr>
          <w:noProof/>
        </w:rPr>
        <w:t>75</w:t>
      </w:r>
      <w:r>
        <w:rPr>
          <w:noProof/>
        </w:rPr>
        <w:fldChar w:fldCharType="end"/>
      </w:r>
    </w:p>
    <w:p w:rsidR="004B5BC0" w:rsidRDefault="004B5BC0">
      <w:pPr>
        <w:pStyle w:val="TOC3"/>
        <w:tabs>
          <w:tab w:val="left" w:pos="1165"/>
          <w:tab w:val="right" w:leader="dot" w:pos="9350"/>
        </w:tabs>
        <w:rPr>
          <w:rFonts w:asciiTheme="minorHAnsi" w:eastAsiaTheme="minorEastAsia" w:hAnsiTheme="minorHAnsi" w:cstheme="minorBidi"/>
          <w:noProof/>
          <w:sz w:val="24"/>
        </w:rPr>
      </w:pPr>
      <w:r>
        <w:rPr>
          <w:noProof/>
        </w:rPr>
        <w:t>6.7.2</w:t>
      </w:r>
      <w:r>
        <w:rPr>
          <w:rFonts w:asciiTheme="minorHAnsi" w:eastAsiaTheme="minorEastAsia" w:hAnsiTheme="minorHAnsi" w:cstheme="minorBidi"/>
          <w:noProof/>
          <w:sz w:val="24"/>
        </w:rPr>
        <w:tab/>
      </w:r>
      <w:r>
        <w:rPr>
          <w:noProof/>
        </w:rPr>
        <w:t>Aliased to near-Nyquist Spatial Frequency:  Moiré</w:t>
      </w:r>
      <w:r>
        <w:rPr>
          <w:noProof/>
        </w:rPr>
        <w:tab/>
      </w:r>
      <w:r>
        <w:rPr>
          <w:noProof/>
        </w:rPr>
        <w:fldChar w:fldCharType="begin"/>
      </w:r>
      <w:r>
        <w:rPr>
          <w:noProof/>
        </w:rPr>
        <w:instrText xml:space="preserve"> PAGEREF _Toc322942210 \h </w:instrText>
      </w:r>
      <w:r w:rsidR="002559BD">
        <w:rPr>
          <w:noProof/>
        </w:rPr>
      </w:r>
      <w:r>
        <w:rPr>
          <w:noProof/>
        </w:rPr>
        <w:fldChar w:fldCharType="separate"/>
      </w:r>
      <w:r>
        <w:rPr>
          <w:noProof/>
        </w:rPr>
        <w:t>77</w:t>
      </w:r>
      <w:r>
        <w:rPr>
          <w:noProof/>
        </w:rPr>
        <w:fldChar w:fldCharType="end"/>
      </w:r>
    </w:p>
    <w:p w:rsidR="004B5BC0" w:rsidRDefault="004B5BC0">
      <w:pPr>
        <w:pStyle w:val="TOC3"/>
        <w:tabs>
          <w:tab w:val="left" w:pos="1165"/>
          <w:tab w:val="right" w:leader="dot" w:pos="9350"/>
        </w:tabs>
        <w:rPr>
          <w:rFonts w:asciiTheme="minorHAnsi" w:eastAsiaTheme="minorEastAsia" w:hAnsiTheme="minorHAnsi" w:cstheme="minorBidi"/>
          <w:noProof/>
          <w:sz w:val="24"/>
        </w:rPr>
      </w:pPr>
      <w:r>
        <w:rPr>
          <w:noProof/>
        </w:rPr>
        <w:t>6.7.3</w:t>
      </w:r>
      <w:r>
        <w:rPr>
          <w:rFonts w:asciiTheme="minorHAnsi" w:eastAsiaTheme="minorEastAsia" w:hAnsiTheme="minorHAnsi" w:cstheme="minorBidi"/>
          <w:noProof/>
          <w:sz w:val="24"/>
        </w:rPr>
        <w:tab/>
      </w:r>
      <w:r>
        <w:rPr>
          <w:noProof/>
        </w:rPr>
        <w:t>Detection in Row Fourier Transforms</w:t>
      </w:r>
      <w:r>
        <w:rPr>
          <w:noProof/>
        </w:rPr>
        <w:tab/>
      </w:r>
      <w:r>
        <w:rPr>
          <w:noProof/>
        </w:rPr>
        <w:fldChar w:fldCharType="begin"/>
      </w:r>
      <w:r>
        <w:rPr>
          <w:noProof/>
        </w:rPr>
        <w:instrText xml:space="preserve"> PAGEREF _Toc322942211 \h </w:instrText>
      </w:r>
      <w:r w:rsidR="002559BD">
        <w:rPr>
          <w:noProof/>
        </w:rPr>
      </w:r>
      <w:r>
        <w:rPr>
          <w:noProof/>
        </w:rPr>
        <w:fldChar w:fldCharType="separate"/>
      </w:r>
      <w:r>
        <w:rPr>
          <w:noProof/>
        </w:rPr>
        <w:t>78</w:t>
      </w:r>
      <w:r>
        <w:rPr>
          <w:noProof/>
        </w:rPr>
        <w:fldChar w:fldCharType="end"/>
      </w:r>
    </w:p>
    <w:p w:rsidR="004B5BC0" w:rsidRDefault="004B5BC0">
      <w:pPr>
        <w:pStyle w:val="TOC3"/>
        <w:tabs>
          <w:tab w:val="left" w:pos="1165"/>
          <w:tab w:val="right" w:leader="dot" w:pos="9350"/>
        </w:tabs>
        <w:rPr>
          <w:rFonts w:asciiTheme="minorHAnsi" w:eastAsiaTheme="minorEastAsia" w:hAnsiTheme="minorHAnsi" w:cstheme="minorBidi"/>
          <w:noProof/>
          <w:sz w:val="24"/>
        </w:rPr>
      </w:pPr>
      <w:r>
        <w:rPr>
          <w:noProof/>
        </w:rPr>
        <w:t>6.7.4</w:t>
      </w:r>
      <w:r>
        <w:rPr>
          <w:rFonts w:asciiTheme="minorHAnsi" w:eastAsiaTheme="minorEastAsia" w:hAnsiTheme="minorHAnsi" w:cstheme="minorBidi"/>
          <w:noProof/>
          <w:sz w:val="24"/>
        </w:rPr>
        <w:tab/>
      </w:r>
      <w:r>
        <w:rPr>
          <w:noProof/>
        </w:rPr>
        <w:t>Excitation by Bright Sources</w:t>
      </w:r>
      <w:r>
        <w:rPr>
          <w:noProof/>
        </w:rPr>
        <w:tab/>
      </w:r>
      <w:r>
        <w:rPr>
          <w:noProof/>
        </w:rPr>
        <w:fldChar w:fldCharType="begin"/>
      </w:r>
      <w:r>
        <w:rPr>
          <w:noProof/>
        </w:rPr>
        <w:instrText xml:space="preserve"> PAGEREF _Toc322942212 \h </w:instrText>
      </w:r>
      <w:r w:rsidR="002559BD">
        <w:rPr>
          <w:noProof/>
        </w:rPr>
      </w:r>
      <w:r>
        <w:rPr>
          <w:noProof/>
        </w:rPr>
        <w:fldChar w:fldCharType="separate"/>
      </w:r>
      <w:r>
        <w:rPr>
          <w:noProof/>
        </w:rPr>
        <w:t>79</w:t>
      </w:r>
      <w:r>
        <w:rPr>
          <w:noProof/>
        </w:rPr>
        <w:fldChar w:fldCharType="end"/>
      </w:r>
    </w:p>
    <w:p w:rsidR="004B5BC0" w:rsidRDefault="004B5BC0">
      <w:pPr>
        <w:pStyle w:val="TOC3"/>
        <w:tabs>
          <w:tab w:val="left" w:pos="1165"/>
          <w:tab w:val="right" w:leader="dot" w:pos="9350"/>
        </w:tabs>
        <w:rPr>
          <w:rFonts w:asciiTheme="minorHAnsi" w:eastAsiaTheme="minorEastAsia" w:hAnsiTheme="minorHAnsi" w:cstheme="minorBidi"/>
          <w:noProof/>
          <w:sz w:val="24"/>
        </w:rPr>
      </w:pPr>
      <w:r>
        <w:rPr>
          <w:noProof/>
        </w:rPr>
        <w:t>6.7.5</w:t>
      </w:r>
      <w:r>
        <w:rPr>
          <w:rFonts w:asciiTheme="minorHAnsi" w:eastAsiaTheme="minorEastAsia" w:hAnsiTheme="minorHAnsi" w:cstheme="minorBidi"/>
          <w:noProof/>
          <w:sz w:val="24"/>
        </w:rPr>
        <w:tab/>
      </w:r>
      <w:r>
        <w:rPr>
          <w:noProof/>
        </w:rPr>
        <w:t>Photometric Consequences</w:t>
      </w:r>
      <w:r>
        <w:rPr>
          <w:noProof/>
        </w:rPr>
        <w:tab/>
      </w:r>
      <w:r>
        <w:rPr>
          <w:noProof/>
        </w:rPr>
        <w:fldChar w:fldCharType="begin"/>
      </w:r>
      <w:r>
        <w:rPr>
          <w:noProof/>
        </w:rPr>
        <w:instrText xml:space="preserve"> PAGEREF _Toc322942213 \h </w:instrText>
      </w:r>
      <w:r w:rsidR="002559BD">
        <w:rPr>
          <w:noProof/>
        </w:rPr>
      </w:r>
      <w:r>
        <w:rPr>
          <w:noProof/>
        </w:rPr>
        <w:fldChar w:fldCharType="separate"/>
      </w:r>
      <w:r>
        <w:rPr>
          <w:noProof/>
        </w:rPr>
        <w:t>80</w:t>
      </w:r>
      <w:r>
        <w:rPr>
          <w:noProof/>
        </w:rPr>
        <w:fldChar w:fldCharType="end"/>
      </w:r>
    </w:p>
    <w:p w:rsidR="004B5BC0" w:rsidRDefault="004B5BC0">
      <w:pPr>
        <w:pStyle w:val="TOC3"/>
        <w:tabs>
          <w:tab w:val="left" w:pos="1165"/>
          <w:tab w:val="right" w:leader="dot" w:pos="9350"/>
        </w:tabs>
        <w:rPr>
          <w:rFonts w:asciiTheme="minorHAnsi" w:eastAsiaTheme="minorEastAsia" w:hAnsiTheme="minorHAnsi" w:cstheme="minorBidi"/>
          <w:noProof/>
          <w:sz w:val="24"/>
        </w:rPr>
      </w:pPr>
      <w:r>
        <w:rPr>
          <w:noProof/>
        </w:rPr>
        <w:t>6.7.6</w:t>
      </w:r>
      <w:r>
        <w:rPr>
          <w:rFonts w:asciiTheme="minorHAnsi" w:eastAsiaTheme="minorEastAsia" w:hAnsiTheme="minorHAnsi" w:cstheme="minorBidi"/>
          <w:noProof/>
          <w:sz w:val="24"/>
        </w:rPr>
        <w:tab/>
      </w:r>
      <w:r>
        <w:rPr>
          <w:noProof/>
        </w:rPr>
        <w:t>Mitigation</w:t>
      </w:r>
      <w:r>
        <w:rPr>
          <w:noProof/>
        </w:rPr>
        <w:tab/>
      </w:r>
      <w:r>
        <w:rPr>
          <w:noProof/>
        </w:rPr>
        <w:fldChar w:fldCharType="begin"/>
      </w:r>
      <w:r>
        <w:rPr>
          <w:noProof/>
        </w:rPr>
        <w:instrText xml:space="preserve"> PAGEREF _Toc322942214 \h </w:instrText>
      </w:r>
      <w:r w:rsidR="002559BD">
        <w:rPr>
          <w:noProof/>
        </w:rPr>
      </w:r>
      <w:r>
        <w:rPr>
          <w:noProof/>
        </w:rPr>
        <w:fldChar w:fldCharType="separate"/>
      </w:r>
      <w:r>
        <w:rPr>
          <w:noProof/>
        </w:rPr>
        <w:t>80</w:t>
      </w:r>
      <w:r>
        <w:rPr>
          <w:noProof/>
        </w:rPr>
        <w:fldChar w:fldCharType="end"/>
      </w:r>
    </w:p>
    <w:p w:rsidR="004B5BC0" w:rsidRDefault="004B5BC0">
      <w:pPr>
        <w:pStyle w:val="TOC2"/>
        <w:tabs>
          <w:tab w:val="left" w:pos="758"/>
          <w:tab w:val="right" w:leader="dot" w:pos="9350"/>
        </w:tabs>
        <w:rPr>
          <w:rFonts w:asciiTheme="minorHAnsi" w:eastAsiaTheme="minorEastAsia" w:hAnsiTheme="minorHAnsi" w:cstheme="minorBidi"/>
          <w:noProof/>
          <w:sz w:val="24"/>
        </w:rPr>
      </w:pPr>
      <w:r>
        <w:rPr>
          <w:noProof/>
        </w:rPr>
        <w:t>6.8</w:t>
      </w:r>
      <w:r>
        <w:rPr>
          <w:rFonts w:asciiTheme="minorHAnsi" w:eastAsiaTheme="minorEastAsia" w:hAnsiTheme="minorHAnsi" w:cstheme="minorBidi"/>
          <w:noProof/>
          <w:sz w:val="24"/>
        </w:rPr>
        <w:tab/>
      </w:r>
      <w:r>
        <w:rPr>
          <w:noProof/>
        </w:rPr>
        <w:t>Long Cadence Artifact Removal Pixels (ARPs)</w:t>
      </w:r>
      <w:r>
        <w:rPr>
          <w:noProof/>
        </w:rPr>
        <w:tab/>
      </w:r>
      <w:r>
        <w:rPr>
          <w:noProof/>
        </w:rPr>
        <w:fldChar w:fldCharType="begin"/>
      </w:r>
      <w:r>
        <w:rPr>
          <w:noProof/>
        </w:rPr>
        <w:instrText xml:space="preserve"> PAGEREF _Toc322942215 \h </w:instrText>
      </w:r>
      <w:r w:rsidR="002559BD">
        <w:rPr>
          <w:noProof/>
        </w:rPr>
      </w:r>
      <w:r>
        <w:rPr>
          <w:noProof/>
        </w:rPr>
        <w:fldChar w:fldCharType="separate"/>
      </w:r>
      <w:r>
        <w:rPr>
          <w:noProof/>
        </w:rPr>
        <w:t>81</w:t>
      </w:r>
      <w:r>
        <w:rPr>
          <w:noProof/>
        </w:rPr>
        <w:fldChar w:fldCharType="end"/>
      </w:r>
    </w:p>
    <w:p w:rsidR="004B5BC0" w:rsidRDefault="004B5BC0">
      <w:pPr>
        <w:pStyle w:val="TOC1"/>
        <w:tabs>
          <w:tab w:val="left" w:pos="407"/>
          <w:tab w:val="right" w:leader="dot" w:pos="9350"/>
        </w:tabs>
        <w:rPr>
          <w:rFonts w:asciiTheme="minorHAnsi" w:eastAsiaTheme="minorEastAsia" w:hAnsiTheme="minorHAnsi" w:cstheme="minorBidi"/>
          <w:noProof/>
          <w:sz w:val="24"/>
        </w:rPr>
      </w:pPr>
      <w:r>
        <w:rPr>
          <w:noProof/>
        </w:rPr>
        <w:t>7.</w:t>
      </w:r>
      <w:r>
        <w:rPr>
          <w:rFonts w:asciiTheme="minorHAnsi" w:eastAsiaTheme="minorEastAsia" w:hAnsiTheme="minorHAnsi" w:cstheme="minorBidi"/>
          <w:noProof/>
          <w:sz w:val="24"/>
        </w:rPr>
        <w:tab/>
      </w:r>
      <w:r>
        <w:rPr>
          <w:noProof/>
        </w:rPr>
        <w:t>Observing with Kepler</w:t>
      </w:r>
      <w:r>
        <w:rPr>
          <w:noProof/>
        </w:rPr>
        <w:tab/>
      </w:r>
      <w:r>
        <w:rPr>
          <w:noProof/>
        </w:rPr>
        <w:fldChar w:fldCharType="begin"/>
      </w:r>
      <w:r>
        <w:rPr>
          <w:noProof/>
        </w:rPr>
        <w:instrText xml:space="preserve"> PAGEREF _Toc322942216 \h </w:instrText>
      </w:r>
      <w:r w:rsidR="002559BD">
        <w:rPr>
          <w:noProof/>
        </w:rPr>
      </w:r>
      <w:r>
        <w:rPr>
          <w:noProof/>
        </w:rPr>
        <w:fldChar w:fldCharType="separate"/>
      </w:r>
      <w:r>
        <w:rPr>
          <w:noProof/>
        </w:rPr>
        <w:t>82</w:t>
      </w:r>
      <w:r>
        <w:rPr>
          <w:noProof/>
        </w:rPr>
        <w:fldChar w:fldCharType="end"/>
      </w:r>
    </w:p>
    <w:p w:rsidR="004B5BC0" w:rsidRDefault="004B5BC0">
      <w:pPr>
        <w:pStyle w:val="TOC2"/>
        <w:tabs>
          <w:tab w:val="left" w:pos="758"/>
          <w:tab w:val="right" w:leader="dot" w:pos="9350"/>
        </w:tabs>
        <w:rPr>
          <w:rFonts w:asciiTheme="minorHAnsi" w:eastAsiaTheme="minorEastAsia" w:hAnsiTheme="minorHAnsi" w:cstheme="minorBidi"/>
          <w:noProof/>
          <w:sz w:val="24"/>
        </w:rPr>
      </w:pPr>
      <w:r>
        <w:rPr>
          <w:noProof/>
        </w:rPr>
        <w:t>7.1</w:t>
      </w:r>
      <w:r>
        <w:rPr>
          <w:rFonts w:asciiTheme="minorHAnsi" w:eastAsiaTheme="minorEastAsia" w:hAnsiTheme="minorHAnsi" w:cstheme="minorBidi"/>
          <w:noProof/>
          <w:sz w:val="24"/>
        </w:rPr>
        <w:tab/>
      </w:r>
      <w:r>
        <w:rPr>
          <w:noProof/>
        </w:rPr>
        <w:t>Flight System Modes and States</w:t>
      </w:r>
      <w:r>
        <w:rPr>
          <w:noProof/>
        </w:rPr>
        <w:tab/>
      </w:r>
      <w:r>
        <w:rPr>
          <w:noProof/>
        </w:rPr>
        <w:fldChar w:fldCharType="begin"/>
      </w:r>
      <w:r>
        <w:rPr>
          <w:noProof/>
        </w:rPr>
        <w:instrText xml:space="preserve"> PAGEREF _Toc322942217 \h </w:instrText>
      </w:r>
      <w:r w:rsidR="002559BD">
        <w:rPr>
          <w:noProof/>
        </w:rPr>
      </w:r>
      <w:r>
        <w:rPr>
          <w:noProof/>
        </w:rPr>
        <w:fldChar w:fldCharType="separate"/>
      </w:r>
      <w:r>
        <w:rPr>
          <w:noProof/>
        </w:rPr>
        <w:t>82</w:t>
      </w:r>
      <w:r>
        <w:rPr>
          <w:noProof/>
        </w:rPr>
        <w:fldChar w:fldCharType="end"/>
      </w:r>
    </w:p>
    <w:p w:rsidR="004B5BC0" w:rsidRDefault="004B5BC0">
      <w:pPr>
        <w:pStyle w:val="TOC2"/>
        <w:tabs>
          <w:tab w:val="left" w:pos="758"/>
          <w:tab w:val="right" w:leader="dot" w:pos="9350"/>
        </w:tabs>
        <w:rPr>
          <w:rFonts w:asciiTheme="minorHAnsi" w:eastAsiaTheme="minorEastAsia" w:hAnsiTheme="minorHAnsi" w:cstheme="minorBidi"/>
          <w:noProof/>
          <w:sz w:val="24"/>
        </w:rPr>
      </w:pPr>
      <w:r>
        <w:rPr>
          <w:noProof/>
        </w:rPr>
        <w:t>7.2</w:t>
      </w:r>
      <w:r>
        <w:rPr>
          <w:rFonts w:asciiTheme="minorHAnsi" w:eastAsiaTheme="minorEastAsia" w:hAnsiTheme="minorHAnsi" w:cstheme="minorBidi"/>
          <w:noProof/>
          <w:sz w:val="24"/>
        </w:rPr>
        <w:tab/>
      </w:r>
      <w:r>
        <w:rPr>
          <w:noProof/>
        </w:rPr>
        <w:t>Default Operating Parameters</w:t>
      </w:r>
      <w:r>
        <w:rPr>
          <w:noProof/>
        </w:rPr>
        <w:tab/>
      </w:r>
      <w:r>
        <w:rPr>
          <w:noProof/>
        </w:rPr>
        <w:fldChar w:fldCharType="begin"/>
      </w:r>
      <w:r>
        <w:rPr>
          <w:noProof/>
        </w:rPr>
        <w:instrText xml:space="preserve"> PAGEREF _Toc322942218 \h </w:instrText>
      </w:r>
      <w:r w:rsidR="002559BD">
        <w:rPr>
          <w:noProof/>
        </w:rPr>
      </w:r>
      <w:r>
        <w:rPr>
          <w:noProof/>
        </w:rPr>
        <w:fldChar w:fldCharType="separate"/>
      </w:r>
      <w:r>
        <w:rPr>
          <w:noProof/>
        </w:rPr>
        <w:t>83</w:t>
      </w:r>
      <w:r>
        <w:rPr>
          <w:noProof/>
        </w:rPr>
        <w:fldChar w:fldCharType="end"/>
      </w:r>
    </w:p>
    <w:p w:rsidR="004B5BC0" w:rsidRDefault="004B5BC0">
      <w:pPr>
        <w:pStyle w:val="TOC3"/>
        <w:tabs>
          <w:tab w:val="left" w:pos="1165"/>
          <w:tab w:val="right" w:leader="dot" w:pos="9350"/>
        </w:tabs>
        <w:rPr>
          <w:rFonts w:asciiTheme="minorHAnsi" w:eastAsiaTheme="minorEastAsia" w:hAnsiTheme="minorHAnsi" w:cstheme="minorBidi"/>
          <w:noProof/>
          <w:sz w:val="24"/>
        </w:rPr>
      </w:pPr>
      <w:r>
        <w:rPr>
          <w:noProof/>
        </w:rPr>
        <w:t>7.2.1</w:t>
      </w:r>
      <w:r>
        <w:rPr>
          <w:rFonts w:asciiTheme="minorHAnsi" w:eastAsiaTheme="minorEastAsia" w:hAnsiTheme="minorHAnsi" w:cstheme="minorBidi"/>
          <w:noProof/>
          <w:sz w:val="24"/>
        </w:rPr>
        <w:tab/>
      </w:r>
      <w:r>
        <w:rPr>
          <w:noProof/>
        </w:rPr>
        <w:t>LDE Configuration</w:t>
      </w:r>
      <w:r>
        <w:rPr>
          <w:noProof/>
        </w:rPr>
        <w:tab/>
      </w:r>
      <w:r>
        <w:rPr>
          <w:noProof/>
        </w:rPr>
        <w:fldChar w:fldCharType="begin"/>
      </w:r>
      <w:r>
        <w:rPr>
          <w:noProof/>
        </w:rPr>
        <w:instrText xml:space="preserve"> PAGEREF _Toc322942219 \h </w:instrText>
      </w:r>
      <w:r w:rsidR="002559BD">
        <w:rPr>
          <w:noProof/>
        </w:rPr>
      </w:r>
      <w:r>
        <w:rPr>
          <w:noProof/>
        </w:rPr>
        <w:fldChar w:fldCharType="separate"/>
      </w:r>
      <w:r>
        <w:rPr>
          <w:noProof/>
        </w:rPr>
        <w:t>83</w:t>
      </w:r>
      <w:r>
        <w:rPr>
          <w:noProof/>
        </w:rPr>
        <w:fldChar w:fldCharType="end"/>
      </w:r>
    </w:p>
    <w:p w:rsidR="004B5BC0" w:rsidRDefault="004B5BC0">
      <w:pPr>
        <w:pStyle w:val="TOC3"/>
        <w:tabs>
          <w:tab w:val="left" w:pos="1165"/>
          <w:tab w:val="right" w:leader="dot" w:pos="9350"/>
        </w:tabs>
        <w:rPr>
          <w:rFonts w:asciiTheme="minorHAnsi" w:eastAsiaTheme="minorEastAsia" w:hAnsiTheme="minorHAnsi" w:cstheme="minorBidi"/>
          <w:noProof/>
          <w:sz w:val="24"/>
        </w:rPr>
      </w:pPr>
      <w:r>
        <w:rPr>
          <w:noProof/>
        </w:rPr>
        <w:t>7.2.2</w:t>
      </w:r>
      <w:r>
        <w:rPr>
          <w:rFonts w:asciiTheme="minorHAnsi" w:eastAsiaTheme="minorEastAsia" w:hAnsiTheme="minorHAnsi" w:cstheme="minorBidi"/>
          <w:noProof/>
          <w:sz w:val="24"/>
        </w:rPr>
        <w:tab/>
      </w:r>
      <w:r>
        <w:rPr>
          <w:noProof/>
        </w:rPr>
        <w:t>Flight Software Parameters</w:t>
      </w:r>
      <w:r>
        <w:rPr>
          <w:noProof/>
        </w:rPr>
        <w:tab/>
      </w:r>
      <w:r>
        <w:rPr>
          <w:noProof/>
        </w:rPr>
        <w:fldChar w:fldCharType="begin"/>
      </w:r>
      <w:r>
        <w:rPr>
          <w:noProof/>
        </w:rPr>
        <w:instrText xml:space="preserve"> PAGEREF _Toc322942220 \h </w:instrText>
      </w:r>
      <w:r w:rsidR="002559BD">
        <w:rPr>
          <w:noProof/>
        </w:rPr>
      </w:r>
      <w:r>
        <w:rPr>
          <w:noProof/>
        </w:rPr>
        <w:fldChar w:fldCharType="separate"/>
      </w:r>
      <w:r>
        <w:rPr>
          <w:noProof/>
        </w:rPr>
        <w:t>84</w:t>
      </w:r>
      <w:r>
        <w:rPr>
          <w:noProof/>
        </w:rPr>
        <w:fldChar w:fldCharType="end"/>
      </w:r>
    </w:p>
    <w:p w:rsidR="004B5BC0" w:rsidRDefault="004B5BC0">
      <w:pPr>
        <w:pStyle w:val="TOC2"/>
        <w:tabs>
          <w:tab w:val="left" w:pos="758"/>
          <w:tab w:val="right" w:leader="dot" w:pos="9350"/>
        </w:tabs>
        <w:rPr>
          <w:rFonts w:asciiTheme="minorHAnsi" w:eastAsiaTheme="minorEastAsia" w:hAnsiTheme="minorHAnsi" w:cstheme="minorBidi"/>
          <w:noProof/>
          <w:sz w:val="24"/>
        </w:rPr>
      </w:pPr>
      <w:r>
        <w:rPr>
          <w:noProof/>
        </w:rPr>
        <w:t>7.3</w:t>
      </w:r>
      <w:r>
        <w:rPr>
          <w:rFonts w:asciiTheme="minorHAnsi" w:eastAsiaTheme="minorEastAsia" w:hAnsiTheme="minorHAnsi" w:cstheme="minorBidi"/>
          <w:noProof/>
          <w:sz w:val="24"/>
        </w:rPr>
        <w:tab/>
      </w:r>
      <w:r>
        <w:rPr>
          <w:noProof/>
        </w:rPr>
        <w:t>Times and Time Stamps</w:t>
      </w:r>
      <w:r>
        <w:rPr>
          <w:noProof/>
        </w:rPr>
        <w:tab/>
      </w:r>
      <w:r>
        <w:rPr>
          <w:noProof/>
        </w:rPr>
        <w:fldChar w:fldCharType="begin"/>
      </w:r>
      <w:r>
        <w:rPr>
          <w:noProof/>
        </w:rPr>
        <w:instrText xml:space="preserve"> PAGEREF _Toc322942221 \h </w:instrText>
      </w:r>
      <w:r w:rsidR="002559BD">
        <w:rPr>
          <w:noProof/>
        </w:rPr>
      </w:r>
      <w:r>
        <w:rPr>
          <w:noProof/>
        </w:rPr>
        <w:fldChar w:fldCharType="separate"/>
      </w:r>
      <w:r>
        <w:rPr>
          <w:noProof/>
        </w:rPr>
        <w:t>84</w:t>
      </w:r>
      <w:r>
        <w:rPr>
          <w:noProof/>
        </w:rPr>
        <w:fldChar w:fldCharType="end"/>
      </w:r>
    </w:p>
    <w:p w:rsidR="004B5BC0" w:rsidRDefault="004B5BC0">
      <w:pPr>
        <w:pStyle w:val="TOC2"/>
        <w:tabs>
          <w:tab w:val="left" w:pos="758"/>
          <w:tab w:val="right" w:leader="dot" w:pos="9350"/>
        </w:tabs>
        <w:rPr>
          <w:rFonts w:asciiTheme="minorHAnsi" w:eastAsiaTheme="minorEastAsia" w:hAnsiTheme="minorHAnsi" w:cstheme="minorBidi"/>
          <w:noProof/>
          <w:sz w:val="24"/>
        </w:rPr>
      </w:pPr>
      <w:r>
        <w:rPr>
          <w:noProof/>
        </w:rPr>
        <w:t>7.4</w:t>
      </w:r>
      <w:r>
        <w:rPr>
          <w:rFonts w:asciiTheme="minorHAnsi" w:eastAsiaTheme="minorEastAsia" w:hAnsiTheme="minorHAnsi" w:cstheme="minorBidi"/>
          <w:noProof/>
          <w:sz w:val="24"/>
        </w:rPr>
        <w:tab/>
      </w:r>
      <w:r>
        <w:rPr>
          <w:noProof/>
        </w:rPr>
        <w:t>Data Compression</w:t>
      </w:r>
      <w:r>
        <w:rPr>
          <w:noProof/>
        </w:rPr>
        <w:tab/>
      </w:r>
      <w:r>
        <w:rPr>
          <w:noProof/>
        </w:rPr>
        <w:fldChar w:fldCharType="begin"/>
      </w:r>
      <w:r>
        <w:rPr>
          <w:noProof/>
        </w:rPr>
        <w:instrText xml:space="preserve"> PAGEREF _Toc322942222 \h </w:instrText>
      </w:r>
      <w:r w:rsidR="002559BD">
        <w:rPr>
          <w:noProof/>
        </w:rPr>
      </w:r>
      <w:r>
        <w:rPr>
          <w:noProof/>
        </w:rPr>
        <w:fldChar w:fldCharType="separate"/>
      </w:r>
      <w:r>
        <w:rPr>
          <w:noProof/>
        </w:rPr>
        <w:t>85</w:t>
      </w:r>
      <w:r>
        <w:rPr>
          <w:noProof/>
        </w:rPr>
        <w:fldChar w:fldCharType="end"/>
      </w:r>
    </w:p>
    <w:p w:rsidR="004B5BC0" w:rsidRDefault="004B5BC0">
      <w:pPr>
        <w:pStyle w:val="TOC3"/>
        <w:tabs>
          <w:tab w:val="left" w:pos="1165"/>
          <w:tab w:val="right" w:leader="dot" w:pos="9350"/>
        </w:tabs>
        <w:rPr>
          <w:rFonts w:asciiTheme="minorHAnsi" w:eastAsiaTheme="minorEastAsia" w:hAnsiTheme="minorHAnsi" w:cstheme="minorBidi"/>
          <w:noProof/>
          <w:sz w:val="24"/>
        </w:rPr>
      </w:pPr>
      <w:r>
        <w:rPr>
          <w:noProof/>
        </w:rPr>
        <w:t>7.4.1</w:t>
      </w:r>
      <w:r>
        <w:rPr>
          <w:rFonts w:asciiTheme="minorHAnsi" w:eastAsiaTheme="minorEastAsia" w:hAnsiTheme="minorHAnsi" w:cstheme="minorBidi"/>
          <w:noProof/>
          <w:sz w:val="24"/>
        </w:rPr>
        <w:tab/>
      </w:r>
      <w:r>
        <w:rPr>
          <w:noProof/>
        </w:rPr>
        <w:t>Requantization</w:t>
      </w:r>
      <w:r>
        <w:rPr>
          <w:noProof/>
        </w:rPr>
        <w:tab/>
      </w:r>
      <w:r>
        <w:rPr>
          <w:noProof/>
        </w:rPr>
        <w:fldChar w:fldCharType="begin"/>
      </w:r>
      <w:r>
        <w:rPr>
          <w:noProof/>
        </w:rPr>
        <w:instrText xml:space="preserve"> PAGEREF _Toc322942223 \h </w:instrText>
      </w:r>
      <w:r w:rsidR="002559BD">
        <w:rPr>
          <w:noProof/>
        </w:rPr>
      </w:r>
      <w:r>
        <w:rPr>
          <w:noProof/>
        </w:rPr>
        <w:fldChar w:fldCharType="separate"/>
      </w:r>
      <w:r>
        <w:rPr>
          <w:noProof/>
        </w:rPr>
        <w:t>85</w:t>
      </w:r>
      <w:r>
        <w:rPr>
          <w:noProof/>
        </w:rPr>
        <w:fldChar w:fldCharType="end"/>
      </w:r>
    </w:p>
    <w:p w:rsidR="004B5BC0" w:rsidRDefault="004B5BC0">
      <w:pPr>
        <w:pStyle w:val="TOC3"/>
        <w:tabs>
          <w:tab w:val="left" w:pos="1165"/>
          <w:tab w:val="right" w:leader="dot" w:pos="9350"/>
        </w:tabs>
        <w:rPr>
          <w:rFonts w:asciiTheme="minorHAnsi" w:eastAsiaTheme="minorEastAsia" w:hAnsiTheme="minorHAnsi" w:cstheme="minorBidi"/>
          <w:noProof/>
          <w:sz w:val="24"/>
        </w:rPr>
      </w:pPr>
      <w:r>
        <w:rPr>
          <w:noProof/>
        </w:rPr>
        <w:t>7.4.2</w:t>
      </w:r>
      <w:r>
        <w:rPr>
          <w:rFonts w:asciiTheme="minorHAnsi" w:eastAsiaTheme="minorEastAsia" w:hAnsiTheme="minorHAnsi" w:cstheme="minorBidi"/>
          <w:noProof/>
          <w:sz w:val="24"/>
        </w:rPr>
        <w:tab/>
      </w:r>
      <w:r>
        <w:rPr>
          <w:noProof/>
        </w:rPr>
        <w:t>Baseline Subtraction</w:t>
      </w:r>
      <w:r>
        <w:rPr>
          <w:noProof/>
        </w:rPr>
        <w:tab/>
      </w:r>
      <w:r>
        <w:rPr>
          <w:noProof/>
        </w:rPr>
        <w:fldChar w:fldCharType="begin"/>
      </w:r>
      <w:r>
        <w:rPr>
          <w:noProof/>
        </w:rPr>
        <w:instrText xml:space="preserve"> PAGEREF _Toc322942224 \h </w:instrText>
      </w:r>
      <w:r w:rsidR="002559BD">
        <w:rPr>
          <w:noProof/>
        </w:rPr>
      </w:r>
      <w:r>
        <w:rPr>
          <w:noProof/>
        </w:rPr>
        <w:fldChar w:fldCharType="separate"/>
      </w:r>
      <w:r>
        <w:rPr>
          <w:noProof/>
        </w:rPr>
        <w:t>86</w:t>
      </w:r>
      <w:r>
        <w:rPr>
          <w:noProof/>
        </w:rPr>
        <w:fldChar w:fldCharType="end"/>
      </w:r>
    </w:p>
    <w:p w:rsidR="004B5BC0" w:rsidRDefault="004B5BC0">
      <w:pPr>
        <w:pStyle w:val="TOC3"/>
        <w:tabs>
          <w:tab w:val="left" w:pos="1165"/>
          <w:tab w:val="right" w:leader="dot" w:pos="9350"/>
        </w:tabs>
        <w:rPr>
          <w:rFonts w:asciiTheme="minorHAnsi" w:eastAsiaTheme="minorEastAsia" w:hAnsiTheme="minorHAnsi" w:cstheme="minorBidi"/>
          <w:noProof/>
          <w:sz w:val="24"/>
        </w:rPr>
      </w:pPr>
      <w:r>
        <w:rPr>
          <w:noProof/>
        </w:rPr>
        <w:t>7.4.3</w:t>
      </w:r>
      <w:r>
        <w:rPr>
          <w:rFonts w:asciiTheme="minorHAnsi" w:eastAsiaTheme="minorEastAsia" w:hAnsiTheme="minorHAnsi" w:cstheme="minorBidi"/>
          <w:noProof/>
          <w:sz w:val="24"/>
        </w:rPr>
        <w:tab/>
      </w:r>
      <w:r>
        <w:rPr>
          <w:noProof/>
        </w:rPr>
        <w:t>Huffman Coding</w:t>
      </w:r>
      <w:r>
        <w:rPr>
          <w:noProof/>
        </w:rPr>
        <w:tab/>
      </w:r>
      <w:r>
        <w:rPr>
          <w:noProof/>
        </w:rPr>
        <w:fldChar w:fldCharType="begin"/>
      </w:r>
      <w:r>
        <w:rPr>
          <w:noProof/>
        </w:rPr>
        <w:instrText xml:space="preserve"> PAGEREF _Toc322942225 \h </w:instrText>
      </w:r>
      <w:r w:rsidR="002559BD">
        <w:rPr>
          <w:noProof/>
        </w:rPr>
      </w:r>
      <w:r>
        <w:rPr>
          <w:noProof/>
        </w:rPr>
        <w:fldChar w:fldCharType="separate"/>
      </w:r>
      <w:r>
        <w:rPr>
          <w:noProof/>
        </w:rPr>
        <w:t>86</w:t>
      </w:r>
      <w:r>
        <w:rPr>
          <w:noProof/>
        </w:rPr>
        <w:fldChar w:fldCharType="end"/>
      </w:r>
    </w:p>
    <w:p w:rsidR="004B5BC0" w:rsidRDefault="004B5BC0">
      <w:pPr>
        <w:pStyle w:val="TOC2"/>
        <w:tabs>
          <w:tab w:val="left" w:pos="758"/>
          <w:tab w:val="right" w:leader="dot" w:pos="9350"/>
        </w:tabs>
        <w:rPr>
          <w:rFonts w:asciiTheme="minorHAnsi" w:eastAsiaTheme="minorEastAsia" w:hAnsiTheme="minorHAnsi" w:cstheme="minorBidi"/>
          <w:noProof/>
          <w:sz w:val="24"/>
        </w:rPr>
      </w:pPr>
      <w:r>
        <w:rPr>
          <w:noProof/>
        </w:rPr>
        <w:t>7.5</w:t>
      </w:r>
      <w:r>
        <w:rPr>
          <w:rFonts w:asciiTheme="minorHAnsi" w:eastAsiaTheme="minorEastAsia" w:hAnsiTheme="minorHAnsi" w:cstheme="minorBidi"/>
          <w:noProof/>
          <w:sz w:val="24"/>
        </w:rPr>
        <w:tab/>
      </w:r>
      <w:r>
        <w:rPr>
          <w:noProof/>
        </w:rPr>
        <w:t>Photometric Precision Estimation</w:t>
      </w:r>
      <w:r>
        <w:rPr>
          <w:noProof/>
        </w:rPr>
        <w:tab/>
      </w:r>
      <w:r>
        <w:rPr>
          <w:noProof/>
        </w:rPr>
        <w:fldChar w:fldCharType="begin"/>
      </w:r>
      <w:r>
        <w:rPr>
          <w:noProof/>
        </w:rPr>
        <w:instrText xml:space="preserve"> PAGEREF _Toc322942226 \h </w:instrText>
      </w:r>
      <w:r w:rsidR="002559BD">
        <w:rPr>
          <w:noProof/>
        </w:rPr>
      </w:r>
      <w:r>
        <w:rPr>
          <w:noProof/>
        </w:rPr>
        <w:fldChar w:fldCharType="separate"/>
      </w:r>
      <w:r>
        <w:rPr>
          <w:noProof/>
        </w:rPr>
        <w:t>86</w:t>
      </w:r>
      <w:r>
        <w:rPr>
          <w:noProof/>
        </w:rPr>
        <w:fldChar w:fldCharType="end"/>
      </w:r>
    </w:p>
    <w:p w:rsidR="004B5BC0" w:rsidRDefault="004B5BC0">
      <w:pPr>
        <w:pStyle w:val="TOC2"/>
        <w:tabs>
          <w:tab w:val="left" w:pos="758"/>
          <w:tab w:val="right" w:leader="dot" w:pos="9350"/>
        </w:tabs>
        <w:rPr>
          <w:rFonts w:asciiTheme="minorHAnsi" w:eastAsiaTheme="minorEastAsia" w:hAnsiTheme="minorHAnsi" w:cstheme="minorBidi"/>
          <w:noProof/>
          <w:sz w:val="24"/>
        </w:rPr>
      </w:pPr>
      <w:r>
        <w:rPr>
          <w:noProof/>
        </w:rPr>
        <w:t>7.6</w:t>
      </w:r>
      <w:r>
        <w:rPr>
          <w:rFonts w:asciiTheme="minorHAnsi" w:eastAsiaTheme="minorEastAsia" w:hAnsiTheme="minorHAnsi" w:cstheme="minorBidi"/>
          <w:noProof/>
          <w:sz w:val="24"/>
        </w:rPr>
        <w:tab/>
      </w:r>
      <w:r>
        <w:rPr>
          <w:noProof/>
        </w:rPr>
        <w:t>Mapping Targets to Pixel Coordinates</w:t>
      </w:r>
      <w:r>
        <w:rPr>
          <w:noProof/>
        </w:rPr>
        <w:tab/>
      </w:r>
      <w:r>
        <w:rPr>
          <w:noProof/>
        </w:rPr>
        <w:fldChar w:fldCharType="begin"/>
      </w:r>
      <w:r>
        <w:rPr>
          <w:noProof/>
        </w:rPr>
        <w:instrText xml:space="preserve"> PAGEREF _Toc322942227 \h </w:instrText>
      </w:r>
      <w:r w:rsidR="002559BD">
        <w:rPr>
          <w:noProof/>
        </w:rPr>
      </w:r>
      <w:r>
        <w:rPr>
          <w:noProof/>
        </w:rPr>
        <w:fldChar w:fldCharType="separate"/>
      </w:r>
      <w:r>
        <w:rPr>
          <w:noProof/>
        </w:rPr>
        <w:t>87</w:t>
      </w:r>
      <w:r>
        <w:rPr>
          <w:noProof/>
        </w:rPr>
        <w:fldChar w:fldCharType="end"/>
      </w:r>
    </w:p>
    <w:p w:rsidR="004B5BC0" w:rsidRDefault="004B5BC0">
      <w:pPr>
        <w:pStyle w:val="TOC2"/>
        <w:tabs>
          <w:tab w:val="left" w:pos="758"/>
          <w:tab w:val="right" w:leader="dot" w:pos="9350"/>
        </w:tabs>
        <w:rPr>
          <w:rFonts w:asciiTheme="minorHAnsi" w:eastAsiaTheme="minorEastAsia" w:hAnsiTheme="minorHAnsi" w:cstheme="minorBidi"/>
          <w:noProof/>
          <w:sz w:val="24"/>
        </w:rPr>
      </w:pPr>
      <w:r>
        <w:rPr>
          <w:noProof/>
        </w:rPr>
        <w:t>7.7</w:t>
      </w:r>
      <w:r>
        <w:rPr>
          <w:rFonts w:asciiTheme="minorHAnsi" w:eastAsiaTheme="minorEastAsia" w:hAnsiTheme="minorHAnsi" w:cstheme="minorBidi"/>
          <w:noProof/>
          <w:sz w:val="24"/>
        </w:rPr>
        <w:tab/>
      </w:r>
      <w:r>
        <w:rPr>
          <w:noProof/>
        </w:rPr>
        <w:t>Channel Properties Summary</w:t>
      </w:r>
      <w:r>
        <w:rPr>
          <w:noProof/>
        </w:rPr>
        <w:tab/>
      </w:r>
      <w:r>
        <w:rPr>
          <w:noProof/>
        </w:rPr>
        <w:fldChar w:fldCharType="begin"/>
      </w:r>
      <w:r>
        <w:rPr>
          <w:noProof/>
        </w:rPr>
        <w:instrText xml:space="preserve"> PAGEREF _Toc322942228 \h </w:instrText>
      </w:r>
      <w:r w:rsidR="002559BD">
        <w:rPr>
          <w:noProof/>
        </w:rPr>
      </w:r>
      <w:r>
        <w:rPr>
          <w:noProof/>
        </w:rPr>
        <w:fldChar w:fldCharType="separate"/>
      </w:r>
      <w:r>
        <w:rPr>
          <w:noProof/>
        </w:rPr>
        <w:t>88</w:t>
      </w:r>
      <w:r>
        <w:rPr>
          <w:noProof/>
        </w:rPr>
        <w:fldChar w:fldCharType="end"/>
      </w:r>
    </w:p>
    <w:p w:rsidR="004B5BC0" w:rsidRDefault="004B5BC0">
      <w:pPr>
        <w:pStyle w:val="TOC1"/>
        <w:tabs>
          <w:tab w:val="left" w:pos="407"/>
          <w:tab w:val="right" w:leader="dot" w:pos="9350"/>
        </w:tabs>
        <w:rPr>
          <w:rFonts w:asciiTheme="minorHAnsi" w:eastAsiaTheme="minorEastAsia" w:hAnsiTheme="minorHAnsi" w:cstheme="minorBidi"/>
          <w:noProof/>
          <w:sz w:val="24"/>
        </w:rPr>
      </w:pPr>
      <w:r>
        <w:rPr>
          <w:noProof/>
        </w:rPr>
        <w:t>8.</w:t>
      </w:r>
      <w:r>
        <w:rPr>
          <w:rFonts w:asciiTheme="minorHAnsi" w:eastAsiaTheme="minorEastAsia" w:hAnsiTheme="minorHAnsi" w:cstheme="minorBidi"/>
          <w:noProof/>
          <w:sz w:val="24"/>
        </w:rPr>
        <w:tab/>
      </w:r>
      <w:r>
        <w:rPr>
          <w:noProof/>
        </w:rPr>
        <w:t>Acronyms and Abbreviation List</w:t>
      </w:r>
      <w:r>
        <w:rPr>
          <w:noProof/>
        </w:rPr>
        <w:tab/>
      </w:r>
      <w:r>
        <w:rPr>
          <w:noProof/>
        </w:rPr>
        <w:fldChar w:fldCharType="begin"/>
      </w:r>
      <w:r>
        <w:rPr>
          <w:noProof/>
        </w:rPr>
        <w:instrText xml:space="preserve"> PAGEREF _Toc322942229 \h </w:instrText>
      </w:r>
      <w:r w:rsidR="002559BD">
        <w:rPr>
          <w:noProof/>
        </w:rPr>
      </w:r>
      <w:r>
        <w:rPr>
          <w:noProof/>
        </w:rPr>
        <w:fldChar w:fldCharType="separate"/>
      </w:r>
      <w:r>
        <w:rPr>
          <w:noProof/>
        </w:rPr>
        <w:t>94</w:t>
      </w:r>
      <w:r>
        <w:rPr>
          <w:noProof/>
        </w:rPr>
        <w:fldChar w:fldCharType="end"/>
      </w:r>
    </w:p>
    <w:p w:rsidR="004B5BC0" w:rsidRDefault="004B5BC0">
      <w:pPr>
        <w:pStyle w:val="TOC1"/>
        <w:tabs>
          <w:tab w:val="left" w:pos="407"/>
          <w:tab w:val="right" w:leader="dot" w:pos="9350"/>
        </w:tabs>
        <w:rPr>
          <w:rFonts w:asciiTheme="minorHAnsi" w:eastAsiaTheme="minorEastAsia" w:hAnsiTheme="minorHAnsi" w:cstheme="minorBidi"/>
          <w:noProof/>
          <w:sz w:val="24"/>
        </w:rPr>
      </w:pPr>
      <w:r w:rsidRPr="00B34677">
        <w:rPr>
          <w:noProof/>
          <w:snapToGrid w:val="0"/>
        </w:rPr>
        <w:t>9.</w:t>
      </w:r>
      <w:r>
        <w:rPr>
          <w:rFonts w:asciiTheme="minorHAnsi" w:eastAsiaTheme="minorEastAsia" w:hAnsiTheme="minorHAnsi" w:cstheme="minorBidi"/>
          <w:noProof/>
          <w:sz w:val="24"/>
        </w:rPr>
        <w:tab/>
      </w:r>
      <w:r w:rsidRPr="00B34677">
        <w:rPr>
          <w:noProof/>
          <w:snapToGrid w:val="0"/>
        </w:rPr>
        <w:t>References</w:t>
      </w:r>
      <w:r>
        <w:rPr>
          <w:noProof/>
        </w:rPr>
        <w:tab/>
      </w:r>
      <w:r>
        <w:rPr>
          <w:noProof/>
        </w:rPr>
        <w:fldChar w:fldCharType="begin"/>
      </w:r>
      <w:r>
        <w:rPr>
          <w:noProof/>
        </w:rPr>
        <w:instrText xml:space="preserve"> PAGEREF _Toc322942230 \h </w:instrText>
      </w:r>
      <w:r w:rsidR="002559BD">
        <w:rPr>
          <w:noProof/>
        </w:rPr>
      </w:r>
      <w:r>
        <w:rPr>
          <w:noProof/>
        </w:rPr>
        <w:fldChar w:fldCharType="separate"/>
      </w:r>
      <w:r>
        <w:rPr>
          <w:noProof/>
        </w:rPr>
        <w:t>97</w:t>
      </w:r>
      <w:r>
        <w:rPr>
          <w:noProof/>
        </w:rPr>
        <w:fldChar w:fldCharType="end"/>
      </w:r>
    </w:p>
    <w:p w:rsidR="00404448" w:rsidRDefault="004B5BC0" w:rsidP="00404448">
      <w:pPr>
        <w:jc w:val="center"/>
        <w:rPr>
          <w:rFonts w:ascii="Times" w:hAnsi="Times"/>
        </w:rPr>
      </w:pPr>
      <w:r>
        <w:rPr>
          <w:rFonts w:ascii="Times" w:hAnsi="Times"/>
        </w:rPr>
        <w:fldChar w:fldCharType="end"/>
      </w:r>
    </w:p>
    <w:p w:rsidR="00404448" w:rsidRDefault="00404448" w:rsidP="00404448">
      <w:pPr>
        <w:jc w:val="center"/>
        <w:rPr>
          <w:rFonts w:ascii="Times" w:hAnsi="Times"/>
        </w:rPr>
      </w:pPr>
      <w:r>
        <w:rPr>
          <w:rFonts w:ascii="Times" w:hAnsi="Times"/>
        </w:rPr>
        <w:br w:type="page"/>
      </w:r>
    </w:p>
    <w:p w:rsidR="00404448" w:rsidRPr="005B7E9A" w:rsidRDefault="00404448" w:rsidP="00404448">
      <w:pPr>
        <w:jc w:val="center"/>
        <w:outlineLvl w:val="0"/>
        <w:rPr>
          <w:rFonts w:ascii="Times" w:hAnsi="Times"/>
          <w:sz w:val="24"/>
        </w:rPr>
      </w:pPr>
      <w:r w:rsidRPr="005B7E9A">
        <w:rPr>
          <w:rFonts w:ascii="Times" w:hAnsi="Times"/>
          <w:sz w:val="24"/>
        </w:rPr>
        <w:t>List of Figures</w:t>
      </w:r>
    </w:p>
    <w:p w:rsidR="002559BD" w:rsidRDefault="002559BD">
      <w:pPr>
        <w:pStyle w:val="TableofFigures"/>
        <w:tabs>
          <w:tab w:val="right" w:leader="dot" w:pos="9350"/>
        </w:tabs>
        <w:rPr>
          <w:rFonts w:asciiTheme="minorHAnsi" w:eastAsiaTheme="minorEastAsia" w:hAnsiTheme="minorHAnsi" w:cstheme="minorBidi"/>
          <w:noProof/>
          <w:sz w:val="24"/>
        </w:rPr>
      </w:pPr>
      <w:r>
        <w:rPr>
          <w:rFonts w:ascii="Times" w:hAnsi="Times"/>
        </w:rPr>
        <w:fldChar w:fldCharType="begin"/>
      </w:r>
      <w:r>
        <w:rPr>
          <w:rFonts w:ascii="Times" w:hAnsi="Times"/>
        </w:rPr>
        <w:instrText xml:space="preserve"> TOC \c "Figure" </w:instrText>
      </w:r>
      <w:r>
        <w:rPr>
          <w:rFonts w:ascii="Times" w:hAnsi="Times"/>
        </w:rPr>
        <w:fldChar w:fldCharType="separate"/>
      </w:r>
      <w:r>
        <w:rPr>
          <w:noProof/>
        </w:rPr>
        <w:t xml:space="preserve">Figure 1:  </w:t>
      </w:r>
      <w:r w:rsidRPr="0080020D">
        <w:rPr>
          <w:i/>
          <w:noProof/>
        </w:rPr>
        <w:t>Kepler</w:t>
      </w:r>
      <w:r>
        <w:rPr>
          <w:noProof/>
        </w:rPr>
        <w:t xml:space="preserve"> FOV.  Squares show outlines of individual CCD modules projected on the sky.  </w:t>
      </w:r>
      <w:r w:rsidRPr="0080020D">
        <w:rPr>
          <w:i/>
          <w:noProof/>
        </w:rPr>
        <w:t>Kepler</w:t>
      </w:r>
      <w:r>
        <w:rPr>
          <w:noProof/>
        </w:rPr>
        <w:t xml:space="preserve"> will stare at this same patch of sky for the duration of the mission, except when downlinking data through the HGA every 31 days</w:t>
      </w:r>
      <w:r>
        <w:rPr>
          <w:noProof/>
        </w:rPr>
        <w:tab/>
      </w:r>
      <w:r>
        <w:rPr>
          <w:noProof/>
        </w:rPr>
        <w:fldChar w:fldCharType="begin"/>
      </w:r>
      <w:r>
        <w:rPr>
          <w:noProof/>
        </w:rPr>
        <w:instrText xml:space="preserve"> PAGEREF _Toc322942231 \h </w:instrText>
      </w:r>
      <w:r>
        <w:rPr>
          <w:noProof/>
        </w:rPr>
      </w:r>
      <w:r>
        <w:rPr>
          <w:noProof/>
        </w:rPr>
        <w:fldChar w:fldCharType="separate"/>
      </w:r>
      <w:r>
        <w:rPr>
          <w:noProof/>
        </w:rPr>
        <w:t>17</w:t>
      </w:r>
      <w:r>
        <w:rPr>
          <w:noProof/>
        </w:rPr>
        <w:fldChar w:fldCharType="end"/>
      </w:r>
    </w:p>
    <w:p w:rsidR="002559BD" w:rsidRDefault="002559BD">
      <w:pPr>
        <w:pStyle w:val="TableofFigures"/>
        <w:tabs>
          <w:tab w:val="right" w:leader="dot" w:pos="9350"/>
        </w:tabs>
        <w:rPr>
          <w:rFonts w:asciiTheme="minorHAnsi" w:eastAsiaTheme="minorEastAsia" w:hAnsiTheme="minorHAnsi" w:cstheme="minorBidi"/>
          <w:noProof/>
          <w:sz w:val="24"/>
        </w:rPr>
      </w:pPr>
      <w:r>
        <w:rPr>
          <w:noProof/>
        </w:rPr>
        <w:t xml:space="preserve">Figure 2:  </w:t>
      </w:r>
      <w:r w:rsidRPr="0080020D">
        <w:rPr>
          <w:i/>
          <w:noProof/>
        </w:rPr>
        <w:t>Kepler</w:t>
      </w:r>
      <w:r>
        <w:rPr>
          <w:noProof/>
        </w:rPr>
        <w:t xml:space="preserve"> Flight System, showing integrated Photometer and Spacecraft.  Reaction wheels are on the other side; one is visible just behind the HGA in this view.</w:t>
      </w:r>
      <w:r>
        <w:rPr>
          <w:noProof/>
        </w:rPr>
        <w:tab/>
      </w:r>
      <w:r>
        <w:rPr>
          <w:noProof/>
        </w:rPr>
        <w:fldChar w:fldCharType="begin"/>
      </w:r>
      <w:r>
        <w:rPr>
          <w:noProof/>
        </w:rPr>
        <w:instrText xml:space="preserve"> PAGEREF _Toc322942232 \h </w:instrText>
      </w:r>
      <w:r>
        <w:rPr>
          <w:noProof/>
        </w:rPr>
      </w:r>
      <w:r>
        <w:rPr>
          <w:noProof/>
        </w:rPr>
        <w:fldChar w:fldCharType="separate"/>
      </w:r>
      <w:r>
        <w:rPr>
          <w:noProof/>
        </w:rPr>
        <w:t>19</w:t>
      </w:r>
      <w:r>
        <w:rPr>
          <w:noProof/>
        </w:rPr>
        <w:fldChar w:fldCharType="end"/>
      </w:r>
    </w:p>
    <w:p w:rsidR="002559BD" w:rsidRDefault="002559BD">
      <w:pPr>
        <w:pStyle w:val="TableofFigures"/>
        <w:tabs>
          <w:tab w:val="right" w:leader="dot" w:pos="9350"/>
        </w:tabs>
        <w:rPr>
          <w:rFonts w:asciiTheme="minorHAnsi" w:eastAsiaTheme="minorEastAsia" w:hAnsiTheme="minorHAnsi" w:cstheme="minorBidi"/>
          <w:noProof/>
          <w:sz w:val="24"/>
        </w:rPr>
      </w:pPr>
      <w:r>
        <w:rPr>
          <w:noProof/>
        </w:rPr>
        <w:t xml:space="preserve">Figure 3:  </w:t>
      </w:r>
      <w:r w:rsidRPr="0080020D">
        <w:rPr>
          <w:i/>
          <w:noProof/>
        </w:rPr>
        <w:t>Kepler</w:t>
      </w:r>
      <w:r>
        <w:rPr>
          <w:noProof/>
        </w:rPr>
        <w:t xml:space="preserve"> Photometer Architecture.</w:t>
      </w:r>
      <w:r>
        <w:rPr>
          <w:noProof/>
        </w:rPr>
        <w:tab/>
      </w:r>
      <w:r>
        <w:rPr>
          <w:noProof/>
        </w:rPr>
        <w:fldChar w:fldCharType="begin"/>
      </w:r>
      <w:r>
        <w:rPr>
          <w:noProof/>
        </w:rPr>
        <w:instrText xml:space="preserve"> PAGEREF _Toc322942233 \h </w:instrText>
      </w:r>
      <w:r>
        <w:rPr>
          <w:noProof/>
        </w:rPr>
      </w:r>
      <w:r>
        <w:rPr>
          <w:noProof/>
        </w:rPr>
        <w:fldChar w:fldCharType="separate"/>
      </w:r>
      <w:r>
        <w:rPr>
          <w:noProof/>
        </w:rPr>
        <w:t>20</w:t>
      </w:r>
      <w:r>
        <w:rPr>
          <w:noProof/>
        </w:rPr>
        <w:fldChar w:fldCharType="end"/>
      </w:r>
    </w:p>
    <w:p w:rsidR="002559BD" w:rsidRDefault="002559BD">
      <w:pPr>
        <w:pStyle w:val="TableofFigures"/>
        <w:tabs>
          <w:tab w:val="right" w:leader="dot" w:pos="9350"/>
        </w:tabs>
        <w:rPr>
          <w:rFonts w:asciiTheme="minorHAnsi" w:eastAsiaTheme="minorEastAsia" w:hAnsiTheme="minorHAnsi" w:cstheme="minorBidi"/>
          <w:noProof/>
          <w:sz w:val="24"/>
        </w:rPr>
      </w:pPr>
      <w:r>
        <w:rPr>
          <w:noProof/>
        </w:rPr>
        <w:t>Figure 4:  Focal Plane Array Assembly, showing spider mount to telescope and radiator.</w:t>
      </w:r>
      <w:r>
        <w:rPr>
          <w:noProof/>
        </w:rPr>
        <w:tab/>
      </w:r>
      <w:r>
        <w:rPr>
          <w:noProof/>
        </w:rPr>
        <w:fldChar w:fldCharType="begin"/>
      </w:r>
      <w:r>
        <w:rPr>
          <w:noProof/>
        </w:rPr>
        <w:instrText xml:space="preserve"> PAGEREF _Toc322942234 \h </w:instrText>
      </w:r>
      <w:r>
        <w:rPr>
          <w:noProof/>
        </w:rPr>
      </w:r>
      <w:r>
        <w:rPr>
          <w:noProof/>
        </w:rPr>
        <w:fldChar w:fldCharType="separate"/>
      </w:r>
      <w:r>
        <w:rPr>
          <w:noProof/>
        </w:rPr>
        <w:t>21</w:t>
      </w:r>
      <w:r>
        <w:rPr>
          <w:noProof/>
        </w:rPr>
        <w:fldChar w:fldCharType="end"/>
      </w:r>
    </w:p>
    <w:p w:rsidR="002559BD" w:rsidRDefault="002559BD">
      <w:pPr>
        <w:pStyle w:val="TableofFigures"/>
        <w:tabs>
          <w:tab w:val="right" w:leader="dot" w:pos="9350"/>
        </w:tabs>
        <w:rPr>
          <w:rFonts w:asciiTheme="minorHAnsi" w:eastAsiaTheme="minorEastAsia" w:hAnsiTheme="minorHAnsi" w:cstheme="minorBidi"/>
          <w:noProof/>
          <w:sz w:val="24"/>
        </w:rPr>
      </w:pPr>
      <w:r>
        <w:rPr>
          <w:noProof/>
        </w:rPr>
        <w:t>Figure 5:  Targets and Apertures, redrawn after BATC document 2216784.  Gray indicates the pixels of interest for the origin pixel shown by the Target Definition 4-byte word and Pattern index 2.  The bold black pixel is the origin pixel for this target.</w:t>
      </w:r>
      <w:r>
        <w:rPr>
          <w:noProof/>
        </w:rPr>
        <w:tab/>
      </w:r>
      <w:r>
        <w:rPr>
          <w:noProof/>
        </w:rPr>
        <w:fldChar w:fldCharType="begin"/>
      </w:r>
      <w:r>
        <w:rPr>
          <w:noProof/>
        </w:rPr>
        <w:instrText xml:space="preserve"> PAGEREF _Toc322942235 \h </w:instrText>
      </w:r>
      <w:r>
        <w:rPr>
          <w:noProof/>
        </w:rPr>
      </w:r>
      <w:r>
        <w:rPr>
          <w:noProof/>
        </w:rPr>
        <w:fldChar w:fldCharType="separate"/>
      </w:r>
      <w:r>
        <w:rPr>
          <w:noProof/>
        </w:rPr>
        <w:t>22</w:t>
      </w:r>
      <w:r>
        <w:rPr>
          <w:noProof/>
        </w:rPr>
        <w:fldChar w:fldCharType="end"/>
      </w:r>
    </w:p>
    <w:p w:rsidR="002559BD" w:rsidRDefault="002559BD">
      <w:pPr>
        <w:pStyle w:val="TableofFigures"/>
        <w:tabs>
          <w:tab w:val="right" w:leader="dot" w:pos="9350"/>
        </w:tabs>
        <w:rPr>
          <w:rFonts w:asciiTheme="minorHAnsi" w:eastAsiaTheme="minorEastAsia" w:hAnsiTheme="minorHAnsi" w:cstheme="minorBidi"/>
          <w:noProof/>
          <w:sz w:val="24"/>
        </w:rPr>
      </w:pPr>
      <w:r>
        <w:rPr>
          <w:noProof/>
        </w:rPr>
        <w:t>Figure 6:  Typical Distribution of Background Pixels.  The lattice is not quite regular, since the targets are placed to avoid stars, and it is desirable to sample more closely around the edges to better define the boundary conditions for the two-dimensional polynomial fit to the background.</w:t>
      </w:r>
      <w:r>
        <w:rPr>
          <w:noProof/>
        </w:rPr>
        <w:tab/>
      </w:r>
      <w:r>
        <w:rPr>
          <w:noProof/>
        </w:rPr>
        <w:fldChar w:fldCharType="begin"/>
      </w:r>
      <w:r>
        <w:rPr>
          <w:noProof/>
        </w:rPr>
        <w:instrText xml:space="preserve"> PAGEREF _Toc322942236 \h </w:instrText>
      </w:r>
      <w:r>
        <w:rPr>
          <w:noProof/>
        </w:rPr>
      </w:r>
      <w:r>
        <w:rPr>
          <w:noProof/>
        </w:rPr>
        <w:fldChar w:fldCharType="separate"/>
      </w:r>
      <w:r>
        <w:rPr>
          <w:noProof/>
        </w:rPr>
        <w:t>24</w:t>
      </w:r>
      <w:r>
        <w:rPr>
          <w:noProof/>
        </w:rPr>
        <w:fldChar w:fldCharType="end"/>
      </w:r>
    </w:p>
    <w:p w:rsidR="002559BD" w:rsidRDefault="002559BD">
      <w:pPr>
        <w:pStyle w:val="TableofFigures"/>
        <w:tabs>
          <w:tab w:val="right" w:leader="dot" w:pos="9350"/>
        </w:tabs>
        <w:rPr>
          <w:rFonts w:asciiTheme="minorHAnsi" w:eastAsiaTheme="minorEastAsia" w:hAnsiTheme="minorHAnsi" w:cstheme="minorBidi"/>
          <w:noProof/>
          <w:sz w:val="24"/>
        </w:rPr>
      </w:pPr>
      <w:r>
        <w:rPr>
          <w:noProof/>
        </w:rPr>
        <w:t>Figure 7:  Short Cadence Collateral data.  See §4.5 for a more detailed exposition of image format.</w:t>
      </w:r>
      <w:r>
        <w:rPr>
          <w:noProof/>
        </w:rPr>
        <w:tab/>
      </w:r>
      <w:r>
        <w:rPr>
          <w:noProof/>
        </w:rPr>
        <w:fldChar w:fldCharType="begin"/>
      </w:r>
      <w:r>
        <w:rPr>
          <w:noProof/>
        </w:rPr>
        <w:instrText xml:space="preserve"> PAGEREF _Toc322942237 \h </w:instrText>
      </w:r>
      <w:r>
        <w:rPr>
          <w:noProof/>
        </w:rPr>
      </w:r>
      <w:r>
        <w:rPr>
          <w:noProof/>
        </w:rPr>
        <w:fldChar w:fldCharType="separate"/>
      </w:r>
      <w:r>
        <w:rPr>
          <w:noProof/>
        </w:rPr>
        <w:t>25</w:t>
      </w:r>
      <w:r>
        <w:rPr>
          <w:noProof/>
        </w:rPr>
        <w:fldChar w:fldCharType="end"/>
      </w:r>
    </w:p>
    <w:p w:rsidR="002559BD" w:rsidRDefault="002559BD">
      <w:pPr>
        <w:pStyle w:val="TableofFigures"/>
        <w:tabs>
          <w:tab w:val="right" w:leader="dot" w:pos="9350"/>
        </w:tabs>
        <w:rPr>
          <w:rFonts w:asciiTheme="minorHAnsi" w:eastAsiaTheme="minorEastAsia" w:hAnsiTheme="minorHAnsi" w:cstheme="minorBidi"/>
          <w:noProof/>
          <w:sz w:val="24"/>
        </w:rPr>
      </w:pPr>
      <w:r>
        <w:rPr>
          <w:noProof/>
        </w:rPr>
        <w:t>Figure 8:  Right:  Example End-to-End Model (ETEM) image of a single output Channel for 270 coadded 6.02 s integrations, 1132x1070 pixels.  The images are scaled linearly over the range shown to show the star density.  The upper end of the scale (white) are 14th magnitude and brighter.  The horizontal line at the top of the image is due to Charge Injection.  Left:  Zoomed image of a saturated star showing charge bleeding (See §4.10).</w:t>
      </w:r>
      <w:r>
        <w:rPr>
          <w:noProof/>
        </w:rPr>
        <w:tab/>
      </w:r>
      <w:r>
        <w:rPr>
          <w:noProof/>
        </w:rPr>
        <w:fldChar w:fldCharType="begin"/>
      </w:r>
      <w:r>
        <w:rPr>
          <w:noProof/>
        </w:rPr>
        <w:instrText xml:space="preserve"> PAGEREF _Toc322942238 \h </w:instrText>
      </w:r>
      <w:r>
        <w:rPr>
          <w:noProof/>
        </w:rPr>
      </w:r>
      <w:r>
        <w:rPr>
          <w:noProof/>
        </w:rPr>
        <w:fldChar w:fldCharType="separate"/>
      </w:r>
      <w:r>
        <w:rPr>
          <w:noProof/>
        </w:rPr>
        <w:t>26</w:t>
      </w:r>
      <w:r>
        <w:rPr>
          <w:noProof/>
        </w:rPr>
        <w:fldChar w:fldCharType="end"/>
      </w:r>
    </w:p>
    <w:p w:rsidR="002559BD" w:rsidRDefault="002559BD">
      <w:pPr>
        <w:pStyle w:val="TableofFigures"/>
        <w:tabs>
          <w:tab w:val="right" w:leader="dot" w:pos="9350"/>
        </w:tabs>
        <w:rPr>
          <w:rFonts w:asciiTheme="minorHAnsi" w:eastAsiaTheme="minorEastAsia" w:hAnsiTheme="minorHAnsi" w:cstheme="minorBidi"/>
          <w:noProof/>
          <w:sz w:val="24"/>
        </w:rPr>
      </w:pPr>
      <w:r>
        <w:rPr>
          <w:noProof/>
        </w:rPr>
        <w:t>Figure 9: Same images as Figure 8, but scaled linearly over a much smaller range of DN to bring out virtual pixels and low-level image artifacts (§6).  Right:  virtual pixels, on the border of the image, are scaled to black in this image.  Left:  The vertical black band, to the right of full scale pixels from saturated source charge bleeding, is the manifestation of undershoot (§6.6) for bright point sources.</w:t>
      </w:r>
      <w:r>
        <w:rPr>
          <w:noProof/>
        </w:rPr>
        <w:tab/>
      </w:r>
      <w:r>
        <w:rPr>
          <w:noProof/>
        </w:rPr>
        <w:fldChar w:fldCharType="begin"/>
      </w:r>
      <w:r>
        <w:rPr>
          <w:noProof/>
        </w:rPr>
        <w:instrText xml:space="preserve"> PAGEREF _Toc322942239 \h </w:instrText>
      </w:r>
      <w:r>
        <w:rPr>
          <w:noProof/>
        </w:rPr>
      </w:r>
      <w:r>
        <w:rPr>
          <w:noProof/>
        </w:rPr>
        <w:fldChar w:fldCharType="separate"/>
      </w:r>
      <w:r>
        <w:rPr>
          <w:noProof/>
        </w:rPr>
        <w:t>27</w:t>
      </w:r>
      <w:r>
        <w:rPr>
          <w:noProof/>
        </w:rPr>
        <w:fldChar w:fldCharType="end"/>
      </w:r>
    </w:p>
    <w:p w:rsidR="002559BD" w:rsidRDefault="002559BD">
      <w:pPr>
        <w:pStyle w:val="TableofFigures"/>
        <w:tabs>
          <w:tab w:val="right" w:leader="dot" w:pos="9350"/>
        </w:tabs>
        <w:rPr>
          <w:rFonts w:asciiTheme="minorHAnsi" w:eastAsiaTheme="minorEastAsia" w:hAnsiTheme="minorHAnsi" w:cstheme="minorBidi"/>
          <w:noProof/>
          <w:sz w:val="24"/>
        </w:rPr>
      </w:pPr>
      <w:r>
        <w:rPr>
          <w:noProof/>
        </w:rPr>
        <w:t xml:space="preserve">Figure 10:  </w:t>
      </w:r>
      <w:r w:rsidRPr="0080020D">
        <w:rPr>
          <w:i/>
          <w:noProof/>
        </w:rPr>
        <w:t>Kepler</w:t>
      </w:r>
      <w:r>
        <w:rPr>
          <w:noProof/>
        </w:rPr>
        <w:t xml:space="preserve"> Optics nominal design, from </w:t>
      </w:r>
      <w:r w:rsidRPr="0080020D">
        <w:rPr>
          <w:i/>
          <w:noProof/>
        </w:rPr>
        <w:t>KEPLER</w:t>
      </w:r>
      <w:r>
        <w:rPr>
          <w:noProof/>
        </w:rPr>
        <w:t>.DFM.PHT.003E.  RDY is the radius of curvature of the spherical component of each optic.  A and B are the quadratic and quartic components of the Schmidt figure.</w:t>
      </w:r>
      <w:r>
        <w:rPr>
          <w:noProof/>
        </w:rPr>
        <w:tab/>
      </w:r>
      <w:r>
        <w:rPr>
          <w:noProof/>
        </w:rPr>
        <w:fldChar w:fldCharType="begin"/>
      </w:r>
      <w:r>
        <w:rPr>
          <w:noProof/>
        </w:rPr>
        <w:instrText xml:space="preserve"> PAGEREF _Toc322942240 \h </w:instrText>
      </w:r>
      <w:r>
        <w:rPr>
          <w:noProof/>
        </w:rPr>
      </w:r>
      <w:r>
        <w:rPr>
          <w:noProof/>
        </w:rPr>
        <w:fldChar w:fldCharType="separate"/>
      </w:r>
      <w:r>
        <w:rPr>
          <w:noProof/>
        </w:rPr>
        <w:t>29</w:t>
      </w:r>
      <w:r>
        <w:rPr>
          <w:noProof/>
        </w:rPr>
        <w:fldChar w:fldCharType="end"/>
      </w:r>
    </w:p>
    <w:p w:rsidR="002559BD" w:rsidRDefault="002559BD">
      <w:pPr>
        <w:pStyle w:val="TableofFigures"/>
        <w:tabs>
          <w:tab w:val="right" w:leader="dot" w:pos="9350"/>
        </w:tabs>
        <w:rPr>
          <w:rFonts w:asciiTheme="minorHAnsi" w:eastAsiaTheme="minorEastAsia" w:hAnsiTheme="minorHAnsi" w:cstheme="minorBidi"/>
          <w:noProof/>
          <w:sz w:val="24"/>
        </w:rPr>
      </w:pPr>
      <w:r>
        <w:rPr>
          <w:noProof/>
        </w:rPr>
        <w:t xml:space="preserve">Figure 11:  Figure of </w:t>
      </w:r>
      <w:r w:rsidRPr="0080020D">
        <w:rPr>
          <w:i/>
          <w:noProof/>
        </w:rPr>
        <w:t>Kepler</w:t>
      </w:r>
      <w:r>
        <w:rPr>
          <w:noProof/>
        </w:rPr>
        <w:t xml:space="preserve"> Primary Mirror with Respect to a Sphere.  Note 6-fold deformation due to mounting pads.</w:t>
      </w:r>
      <w:r>
        <w:rPr>
          <w:noProof/>
        </w:rPr>
        <w:tab/>
      </w:r>
      <w:r>
        <w:rPr>
          <w:noProof/>
        </w:rPr>
        <w:fldChar w:fldCharType="begin"/>
      </w:r>
      <w:r>
        <w:rPr>
          <w:noProof/>
        </w:rPr>
        <w:instrText xml:space="preserve"> PAGEREF _Toc322942241 \h </w:instrText>
      </w:r>
      <w:r>
        <w:rPr>
          <w:noProof/>
        </w:rPr>
      </w:r>
      <w:r>
        <w:rPr>
          <w:noProof/>
        </w:rPr>
        <w:fldChar w:fldCharType="separate"/>
      </w:r>
      <w:r>
        <w:rPr>
          <w:noProof/>
        </w:rPr>
        <w:t>31</w:t>
      </w:r>
      <w:r>
        <w:rPr>
          <w:noProof/>
        </w:rPr>
        <w:fldChar w:fldCharType="end"/>
      </w:r>
    </w:p>
    <w:p w:rsidR="002559BD" w:rsidRDefault="002559BD">
      <w:pPr>
        <w:pStyle w:val="TableofFigures"/>
        <w:tabs>
          <w:tab w:val="right" w:leader="dot" w:pos="9350"/>
        </w:tabs>
        <w:rPr>
          <w:rFonts w:asciiTheme="minorHAnsi" w:eastAsiaTheme="minorEastAsia" w:hAnsiTheme="minorHAnsi" w:cstheme="minorBidi"/>
          <w:noProof/>
          <w:sz w:val="24"/>
        </w:rPr>
      </w:pPr>
      <w:r>
        <w:rPr>
          <w:noProof/>
        </w:rPr>
        <w:t>Figure 12:  Field Flattener Lens mechanical drawing, from Ball document 570659. Units in mm, with inches shown in brackets [].</w:t>
      </w:r>
      <w:r>
        <w:rPr>
          <w:noProof/>
        </w:rPr>
        <w:tab/>
      </w:r>
      <w:r>
        <w:rPr>
          <w:noProof/>
        </w:rPr>
        <w:fldChar w:fldCharType="begin"/>
      </w:r>
      <w:r>
        <w:rPr>
          <w:noProof/>
        </w:rPr>
        <w:instrText xml:space="preserve"> PAGEREF _Toc322942242 \h </w:instrText>
      </w:r>
      <w:r>
        <w:rPr>
          <w:noProof/>
        </w:rPr>
      </w:r>
      <w:r>
        <w:rPr>
          <w:noProof/>
        </w:rPr>
        <w:fldChar w:fldCharType="separate"/>
      </w:r>
      <w:r>
        <w:rPr>
          <w:noProof/>
        </w:rPr>
        <w:t>33</w:t>
      </w:r>
      <w:r>
        <w:rPr>
          <w:noProof/>
        </w:rPr>
        <w:fldChar w:fldCharType="end"/>
      </w:r>
    </w:p>
    <w:p w:rsidR="002559BD" w:rsidRDefault="002559BD">
      <w:pPr>
        <w:pStyle w:val="TableofFigures"/>
        <w:tabs>
          <w:tab w:val="right" w:leader="dot" w:pos="9350"/>
        </w:tabs>
        <w:rPr>
          <w:rFonts w:asciiTheme="minorHAnsi" w:eastAsiaTheme="minorEastAsia" w:hAnsiTheme="minorHAnsi" w:cstheme="minorBidi"/>
          <w:noProof/>
          <w:sz w:val="24"/>
        </w:rPr>
      </w:pPr>
      <w:r>
        <w:rPr>
          <w:noProof/>
        </w:rPr>
        <w:t>Figure 13:  Photometer Spectral Response, from Bachtell &amp; Peters (2008), for channel 11.2.</w:t>
      </w:r>
      <w:r>
        <w:rPr>
          <w:noProof/>
        </w:rPr>
        <w:tab/>
      </w:r>
      <w:r>
        <w:rPr>
          <w:noProof/>
        </w:rPr>
        <w:fldChar w:fldCharType="begin"/>
      </w:r>
      <w:r>
        <w:rPr>
          <w:noProof/>
        </w:rPr>
        <w:instrText xml:space="preserve"> PAGEREF _Toc322942243 \h </w:instrText>
      </w:r>
      <w:r>
        <w:rPr>
          <w:noProof/>
        </w:rPr>
      </w:r>
      <w:r>
        <w:rPr>
          <w:noProof/>
        </w:rPr>
        <w:fldChar w:fldCharType="separate"/>
      </w:r>
      <w:r>
        <w:rPr>
          <w:noProof/>
        </w:rPr>
        <w:t>34</w:t>
      </w:r>
      <w:r>
        <w:rPr>
          <w:noProof/>
        </w:rPr>
        <w:fldChar w:fldCharType="end"/>
      </w:r>
    </w:p>
    <w:p w:rsidR="002559BD" w:rsidRDefault="002559BD">
      <w:pPr>
        <w:pStyle w:val="TableofFigures"/>
        <w:tabs>
          <w:tab w:val="right" w:leader="dot" w:pos="9350"/>
        </w:tabs>
        <w:rPr>
          <w:rFonts w:asciiTheme="minorHAnsi" w:eastAsiaTheme="minorEastAsia" w:hAnsiTheme="minorHAnsi" w:cstheme="minorBidi"/>
          <w:noProof/>
          <w:sz w:val="24"/>
        </w:rPr>
      </w:pPr>
      <w:r>
        <w:rPr>
          <w:noProof/>
        </w:rPr>
        <w:t xml:space="preserve">Figure 14:  Theoretical example of Chromatic Aberration in </w:t>
      </w:r>
      <w:r w:rsidRPr="0080020D">
        <w:rPr>
          <w:i/>
          <w:noProof/>
        </w:rPr>
        <w:t>Kepler</w:t>
      </w:r>
      <w:r>
        <w:rPr>
          <w:noProof/>
        </w:rPr>
        <w:t xml:space="preserve"> PSF, channel 24.3.  The three images are, from left to right, 430 nm, 630 nm, and 830 nm monochromatic PSFs.  The images are histogram-equalization scaled, and each of the 3 subsampled images is displayed on an area of 11x11 pixels.</w:t>
      </w:r>
      <w:r>
        <w:rPr>
          <w:noProof/>
        </w:rPr>
        <w:tab/>
      </w:r>
      <w:r>
        <w:rPr>
          <w:noProof/>
        </w:rPr>
        <w:fldChar w:fldCharType="begin"/>
      </w:r>
      <w:r>
        <w:rPr>
          <w:noProof/>
        </w:rPr>
        <w:instrText xml:space="preserve"> PAGEREF _Toc322942244 \h </w:instrText>
      </w:r>
      <w:r>
        <w:rPr>
          <w:noProof/>
        </w:rPr>
      </w:r>
      <w:r>
        <w:rPr>
          <w:noProof/>
        </w:rPr>
        <w:fldChar w:fldCharType="separate"/>
      </w:r>
      <w:r>
        <w:rPr>
          <w:noProof/>
        </w:rPr>
        <w:t>35</w:t>
      </w:r>
      <w:r>
        <w:rPr>
          <w:noProof/>
        </w:rPr>
        <w:fldChar w:fldCharType="end"/>
      </w:r>
    </w:p>
    <w:p w:rsidR="002559BD" w:rsidRDefault="002559BD">
      <w:pPr>
        <w:pStyle w:val="TableofFigures"/>
        <w:tabs>
          <w:tab w:val="right" w:leader="dot" w:pos="9350"/>
        </w:tabs>
        <w:rPr>
          <w:rFonts w:asciiTheme="minorHAnsi" w:eastAsiaTheme="minorEastAsia" w:hAnsiTheme="minorHAnsi" w:cstheme="minorBidi"/>
          <w:noProof/>
          <w:sz w:val="24"/>
        </w:rPr>
      </w:pPr>
      <w:r>
        <w:rPr>
          <w:noProof/>
        </w:rPr>
        <w:t>Figure 15:  Example square-root scaled pixel-centered Pixel Response Functions calculated by the PRF model based on Commissioning data.  The color bar indicates the square-root scaled value.  PRFs are calculated near the center of the channel at row 535.0, column 550.0.  Unscaled images are normalized to give a flux of unity integrated over the PRF.  Left:  Channel 9.2, smallest EE95;  Middle:  Channel 13.2, median EE95;  Right:  Channel 10.4, largest EE95.  Images are in channel coordinate system, with the + ordinate increasing rows, and the + abscissa increasing columns.</w:t>
      </w:r>
      <w:r>
        <w:rPr>
          <w:noProof/>
        </w:rPr>
        <w:tab/>
      </w:r>
      <w:r>
        <w:rPr>
          <w:noProof/>
        </w:rPr>
        <w:fldChar w:fldCharType="begin"/>
      </w:r>
      <w:r>
        <w:rPr>
          <w:noProof/>
        </w:rPr>
        <w:instrText xml:space="preserve"> PAGEREF _Toc322942245 \h </w:instrText>
      </w:r>
      <w:r>
        <w:rPr>
          <w:noProof/>
        </w:rPr>
      </w:r>
      <w:r>
        <w:rPr>
          <w:noProof/>
        </w:rPr>
        <w:fldChar w:fldCharType="separate"/>
      </w:r>
      <w:r>
        <w:rPr>
          <w:noProof/>
        </w:rPr>
        <w:t>36</w:t>
      </w:r>
      <w:r>
        <w:rPr>
          <w:noProof/>
        </w:rPr>
        <w:fldChar w:fldCharType="end"/>
      </w:r>
    </w:p>
    <w:p w:rsidR="002559BD" w:rsidRDefault="002559BD">
      <w:pPr>
        <w:pStyle w:val="TableofFigures"/>
        <w:tabs>
          <w:tab w:val="right" w:leader="dot" w:pos="9350"/>
        </w:tabs>
        <w:rPr>
          <w:rFonts w:asciiTheme="minorHAnsi" w:eastAsiaTheme="minorEastAsia" w:hAnsiTheme="minorHAnsi" w:cstheme="minorBidi"/>
          <w:noProof/>
          <w:sz w:val="24"/>
        </w:rPr>
      </w:pPr>
      <w:r>
        <w:rPr>
          <w:noProof/>
        </w:rPr>
        <w:t xml:space="preserve">Figure 16: Pixel-centered images across the FPA after adjusting the focus by 40 </w:t>
      </w:r>
      <w:r>
        <w:rPr>
          <w:noProof/>
        </w:rPr>
        <w:sym w:font="Symbol" w:char="F06D"/>
      </w:r>
      <w:r>
        <w:rPr>
          <w:noProof/>
        </w:rPr>
        <w:t>m during Commissioning.  Each EE Target is normalized to the brightest pixel in the target aperture, rotated and translated to the common FPA co-ordinate system, and linearly scaled to the color bar to the right.  Black lines on color bar represent 10% intervals.  Some channels did not have targets, or the targets were deemed unsatisfactory.  The EE targets are magnified by 50x compared to the spacing between them in this image.  Relatively dim stars near targets and smear correction artifacts are also visible.</w:t>
      </w:r>
      <w:r>
        <w:rPr>
          <w:noProof/>
        </w:rPr>
        <w:tab/>
      </w:r>
      <w:r>
        <w:rPr>
          <w:noProof/>
        </w:rPr>
        <w:fldChar w:fldCharType="begin"/>
      </w:r>
      <w:r>
        <w:rPr>
          <w:noProof/>
        </w:rPr>
        <w:instrText xml:space="preserve"> PAGEREF _Toc322942246 \h </w:instrText>
      </w:r>
      <w:r>
        <w:rPr>
          <w:noProof/>
        </w:rPr>
      </w:r>
      <w:r>
        <w:rPr>
          <w:noProof/>
        </w:rPr>
        <w:fldChar w:fldCharType="separate"/>
      </w:r>
      <w:r>
        <w:rPr>
          <w:noProof/>
        </w:rPr>
        <w:t>37</w:t>
      </w:r>
      <w:r>
        <w:rPr>
          <w:noProof/>
        </w:rPr>
        <w:fldChar w:fldCharType="end"/>
      </w:r>
    </w:p>
    <w:p w:rsidR="002559BD" w:rsidRDefault="002559BD">
      <w:pPr>
        <w:pStyle w:val="TableofFigures"/>
        <w:tabs>
          <w:tab w:val="right" w:leader="dot" w:pos="9350"/>
        </w:tabs>
        <w:rPr>
          <w:rFonts w:asciiTheme="minorHAnsi" w:eastAsiaTheme="minorEastAsia" w:hAnsiTheme="minorHAnsi" w:cstheme="minorBidi"/>
          <w:noProof/>
          <w:sz w:val="24"/>
        </w:rPr>
      </w:pPr>
      <w:r>
        <w:rPr>
          <w:noProof/>
        </w:rPr>
        <w:t xml:space="preserve">Figure 17: Observed 95% EE diameter after focusing the </w:t>
      </w:r>
      <w:r w:rsidRPr="0080020D">
        <w:rPr>
          <w:i/>
          <w:noProof/>
        </w:rPr>
        <w:t>Kepler</w:t>
      </w:r>
      <w:r>
        <w:rPr>
          <w:noProof/>
        </w:rPr>
        <w:t xml:space="preserve"> telescope (see Bryson et al. 2011 for discussion), arranged in the FPA co-ordinate system.   Each box is labeled by channel, followed by the 95% EE diameter in pixels.  Green indicates a 95% EE diameter well within the 7.0 pixel requirement, shading to red in those few cases where the requirement is approached or slightly exceeded.  The white corners indicate FGS channels.</w:t>
      </w:r>
      <w:r>
        <w:rPr>
          <w:noProof/>
        </w:rPr>
        <w:tab/>
      </w:r>
      <w:r>
        <w:rPr>
          <w:noProof/>
        </w:rPr>
        <w:fldChar w:fldCharType="begin"/>
      </w:r>
      <w:r>
        <w:rPr>
          <w:noProof/>
        </w:rPr>
        <w:instrText xml:space="preserve"> PAGEREF _Toc322942247 \h </w:instrText>
      </w:r>
      <w:r>
        <w:rPr>
          <w:noProof/>
        </w:rPr>
      </w:r>
      <w:r>
        <w:rPr>
          <w:noProof/>
        </w:rPr>
        <w:fldChar w:fldCharType="separate"/>
      </w:r>
      <w:r>
        <w:rPr>
          <w:noProof/>
        </w:rPr>
        <w:t>38</w:t>
      </w:r>
      <w:r>
        <w:rPr>
          <w:noProof/>
        </w:rPr>
        <w:fldChar w:fldCharType="end"/>
      </w:r>
    </w:p>
    <w:p w:rsidR="002559BD" w:rsidRDefault="002559BD">
      <w:pPr>
        <w:pStyle w:val="TableofFigures"/>
        <w:tabs>
          <w:tab w:val="right" w:leader="dot" w:pos="9350"/>
        </w:tabs>
        <w:rPr>
          <w:rFonts w:asciiTheme="minorHAnsi" w:eastAsiaTheme="minorEastAsia" w:hAnsiTheme="minorHAnsi" w:cstheme="minorBidi"/>
          <w:noProof/>
          <w:sz w:val="24"/>
        </w:rPr>
      </w:pPr>
      <w:r>
        <w:rPr>
          <w:noProof/>
        </w:rPr>
        <w:t>Figure 18: Spacecraft reported attitude error from Q5, 3</w:t>
      </w:r>
      <w:r w:rsidRPr="007F363F">
        <w:rPr>
          <w:noProof/>
        </w:rPr>
        <w:sym w:font="Symbol" w:char="F073"/>
      </w:r>
      <w:r>
        <w:rPr>
          <w:noProof/>
        </w:rPr>
        <w:t xml:space="preserve"> single-axis.  Cadence sampling frequencies are marked as vertical magenta lines.  For each type of cadence, motion in the region to the left of the marker is referred to as “drift”, and to the right of the marker as “jitter.”  Dashed lines connect the effective frequency limit of 40 s average data to the 40 s moving standard deviation of 10 Hz data.</w:t>
      </w:r>
      <w:r>
        <w:rPr>
          <w:noProof/>
        </w:rPr>
        <w:tab/>
      </w:r>
      <w:r>
        <w:rPr>
          <w:noProof/>
        </w:rPr>
        <w:fldChar w:fldCharType="begin"/>
      </w:r>
      <w:r>
        <w:rPr>
          <w:noProof/>
        </w:rPr>
        <w:instrText xml:space="preserve"> PAGEREF _Toc322942248 \h </w:instrText>
      </w:r>
      <w:r>
        <w:rPr>
          <w:noProof/>
        </w:rPr>
      </w:r>
      <w:r>
        <w:rPr>
          <w:noProof/>
        </w:rPr>
        <w:fldChar w:fldCharType="separate"/>
      </w:r>
      <w:r>
        <w:rPr>
          <w:noProof/>
        </w:rPr>
        <w:t>40</w:t>
      </w:r>
      <w:r>
        <w:rPr>
          <w:noProof/>
        </w:rPr>
        <w:fldChar w:fldCharType="end"/>
      </w:r>
    </w:p>
    <w:p w:rsidR="002559BD" w:rsidRDefault="002559BD">
      <w:pPr>
        <w:pStyle w:val="TableofFigures"/>
        <w:tabs>
          <w:tab w:val="right" w:leader="dot" w:pos="9350"/>
        </w:tabs>
        <w:rPr>
          <w:rFonts w:asciiTheme="minorHAnsi" w:eastAsiaTheme="minorEastAsia" w:hAnsiTheme="minorHAnsi" w:cstheme="minorBidi"/>
          <w:noProof/>
          <w:sz w:val="24"/>
        </w:rPr>
      </w:pPr>
      <w:r>
        <w:rPr>
          <w:noProof/>
        </w:rPr>
        <w:t>Figure 19:  Block diagram of a single CCD chip, showing the physical pixel format and the two output amplifiers.</w:t>
      </w:r>
      <w:r>
        <w:rPr>
          <w:noProof/>
        </w:rPr>
        <w:tab/>
      </w:r>
      <w:r>
        <w:rPr>
          <w:noProof/>
        </w:rPr>
        <w:fldChar w:fldCharType="begin"/>
      </w:r>
      <w:r>
        <w:rPr>
          <w:noProof/>
        </w:rPr>
        <w:instrText xml:space="preserve"> PAGEREF _Toc322942249 \h </w:instrText>
      </w:r>
      <w:r>
        <w:rPr>
          <w:noProof/>
        </w:rPr>
      </w:r>
      <w:r>
        <w:rPr>
          <w:noProof/>
        </w:rPr>
        <w:fldChar w:fldCharType="separate"/>
      </w:r>
      <w:r>
        <w:rPr>
          <w:noProof/>
        </w:rPr>
        <w:t>42</w:t>
      </w:r>
      <w:r>
        <w:rPr>
          <w:noProof/>
        </w:rPr>
        <w:fldChar w:fldCharType="end"/>
      </w:r>
    </w:p>
    <w:p w:rsidR="002559BD" w:rsidRDefault="002559BD">
      <w:pPr>
        <w:pStyle w:val="TableofFigures"/>
        <w:tabs>
          <w:tab w:val="right" w:leader="dot" w:pos="9350"/>
        </w:tabs>
        <w:rPr>
          <w:rFonts w:asciiTheme="minorHAnsi" w:eastAsiaTheme="minorEastAsia" w:hAnsiTheme="minorHAnsi" w:cstheme="minorBidi"/>
          <w:noProof/>
          <w:sz w:val="24"/>
        </w:rPr>
      </w:pPr>
      <w:r>
        <w:rPr>
          <w:noProof/>
        </w:rPr>
        <w:t>Figure 20:  Physical layout of a single CCD module.  Top:  Isometric view from above.  Bottom:  Side view showing location of Si cryodiode.  From Argabright (2008).  Note the height tolerance above label ‘TO ACTIVE AREA’. Curved double-headed lines connect corresponding sides.</w:t>
      </w:r>
      <w:r>
        <w:rPr>
          <w:noProof/>
        </w:rPr>
        <w:tab/>
      </w:r>
      <w:r>
        <w:rPr>
          <w:noProof/>
        </w:rPr>
        <w:fldChar w:fldCharType="begin"/>
      </w:r>
      <w:r>
        <w:rPr>
          <w:noProof/>
        </w:rPr>
        <w:instrText xml:space="preserve"> PAGEREF _Toc322942250 \h </w:instrText>
      </w:r>
      <w:r>
        <w:rPr>
          <w:noProof/>
        </w:rPr>
      </w:r>
      <w:r>
        <w:rPr>
          <w:noProof/>
        </w:rPr>
        <w:fldChar w:fldCharType="separate"/>
      </w:r>
      <w:r>
        <w:rPr>
          <w:noProof/>
        </w:rPr>
        <w:t>43</w:t>
      </w:r>
      <w:r>
        <w:rPr>
          <w:noProof/>
        </w:rPr>
        <w:fldChar w:fldCharType="end"/>
      </w:r>
    </w:p>
    <w:p w:rsidR="002559BD" w:rsidRDefault="002559BD">
      <w:pPr>
        <w:pStyle w:val="TableofFigures"/>
        <w:tabs>
          <w:tab w:val="right" w:leader="dot" w:pos="9350"/>
        </w:tabs>
        <w:rPr>
          <w:rFonts w:asciiTheme="minorHAnsi" w:eastAsiaTheme="minorEastAsia" w:hAnsiTheme="minorHAnsi" w:cstheme="minorBidi"/>
          <w:noProof/>
          <w:sz w:val="24"/>
        </w:rPr>
      </w:pPr>
      <w:r>
        <w:rPr>
          <w:noProof/>
        </w:rPr>
        <w:t>Figure 21:  Physical Layout of a single CCD module.  Left:  Isometric view from below.  Right:  Side view showing interconnect wires.</w:t>
      </w:r>
      <w:r>
        <w:rPr>
          <w:noProof/>
        </w:rPr>
        <w:tab/>
      </w:r>
      <w:r>
        <w:rPr>
          <w:noProof/>
        </w:rPr>
        <w:fldChar w:fldCharType="begin"/>
      </w:r>
      <w:r>
        <w:rPr>
          <w:noProof/>
        </w:rPr>
        <w:instrText xml:space="preserve"> PAGEREF _Toc322942251 \h </w:instrText>
      </w:r>
      <w:r>
        <w:rPr>
          <w:noProof/>
        </w:rPr>
      </w:r>
      <w:r>
        <w:rPr>
          <w:noProof/>
        </w:rPr>
        <w:fldChar w:fldCharType="separate"/>
      </w:r>
      <w:r>
        <w:rPr>
          <w:noProof/>
        </w:rPr>
        <w:t>44</w:t>
      </w:r>
      <w:r>
        <w:rPr>
          <w:noProof/>
        </w:rPr>
        <w:fldChar w:fldCharType="end"/>
      </w:r>
    </w:p>
    <w:p w:rsidR="002559BD" w:rsidRDefault="002559BD">
      <w:pPr>
        <w:pStyle w:val="TableofFigures"/>
        <w:tabs>
          <w:tab w:val="right" w:leader="dot" w:pos="9350"/>
        </w:tabs>
        <w:rPr>
          <w:rFonts w:asciiTheme="minorHAnsi" w:eastAsiaTheme="minorEastAsia" w:hAnsiTheme="minorHAnsi" w:cstheme="minorBidi"/>
          <w:noProof/>
          <w:sz w:val="24"/>
        </w:rPr>
      </w:pPr>
      <w:r>
        <w:rPr>
          <w:noProof/>
        </w:rPr>
        <w:t xml:space="preserve">Figure 22:  Module interface substrate of </w:t>
      </w:r>
      <w:r w:rsidRPr="0080020D">
        <w:rPr>
          <w:i/>
          <w:noProof/>
        </w:rPr>
        <w:t>Kepler</w:t>
      </w:r>
      <w:r>
        <w:rPr>
          <w:noProof/>
        </w:rPr>
        <w:t xml:space="preserve"> focal plane.  21 Science modules are laid out on the Invar substrate.  The 4 FGS modules are placed in the corners of the substrate, as is better seen in Figure 24.</w:t>
      </w:r>
      <w:r>
        <w:rPr>
          <w:noProof/>
        </w:rPr>
        <w:tab/>
      </w:r>
      <w:r>
        <w:rPr>
          <w:noProof/>
        </w:rPr>
        <w:fldChar w:fldCharType="begin"/>
      </w:r>
      <w:r>
        <w:rPr>
          <w:noProof/>
        </w:rPr>
        <w:instrText xml:space="preserve"> PAGEREF _Toc322942252 \h </w:instrText>
      </w:r>
      <w:r>
        <w:rPr>
          <w:noProof/>
        </w:rPr>
      </w:r>
      <w:r>
        <w:rPr>
          <w:noProof/>
        </w:rPr>
        <w:fldChar w:fldCharType="separate"/>
      </w:r>
      <w:r>
        <w:rPr>
          <w:noProof/>
        </w:rPr>
        <w:t>45</w:t>
      </w:r>
      <w:r>
        <w:rPr>
          <w:noProof/>
        </w:rPr>
        <w:fldChar w:fldCharType="end"/>
      </w:r>
    </w:p>
    <w:p w:rsidR="002559BD" w:rsidRDefault="002559BD">
      <w:pPr>
        <w:pStyle w:val="TableofFigures"/>
        <w:tabs>
          <w:tab w:val="right" w:leader="dot" w:pos="9350"/>
        </w:tabs>
        <w:rPr>
          <w:rFonts w:asciiTheme="minorHAnsi" w:eastAsiaTheme="minorEastAsia" w:hAnsiTheme="minorHAnsi" w:cstheme="minorBidi"/>
          <w:noProof/>
          <w:sz w:val="24"/>
        </w:rPr>
      </w:pPr>
      <w:r>
        <w:rPr>
          <w:noProof/>
        </w:rPr>
        <w:t>Figure 23:  Substrate module map, showing physical orientation of CCD modules on the substrate shown in Figure 22, and the 13 degree rotation between spacecraft and FPA coordinates. The angle drawn is not to scale.  Black numbers are module identifiers.  Purple letters indicate location of each of the 2 CCD chips (A and B) per science module.</w:t>
      </w:r>
      <w:r>
        <w:rPr>
          <w:noProof/>
        </w:rPr>
        <w:tab/>
      </w:r>
      <w:r>
        <w:rPr>
          <w:noProof/>
        </w:rPr>
        <w:fldChar w:fldCharType="begin"/>
      </w:r>
      <w:r>
        <w:rPr>
          <w:noProof/>
        </w:rPr>
        <w:instrText xml:space="preserve"> PAGEREF _Toc322942253 \h </w:instrText>
      </w:r>
      <w:r>
        <w:rPr>
          <w:noProof/>
        </w:rPr>
      </w:r>
      <w:r>
        <w:rPr>
          <w:noProof/>
        </w:rPr>
        <w:fldChar w:fldCharType="separate"/>
      </w:r>
      <w:r>
        <w:rPr>
          <w:noProof/>
        </w:rPr>
        <w:t>46</w:t>
      </w:r>
      <w:r>
        <w:rPr>
          <w:noProof/>
        </w:rPr>
        <w:fldChar w:fldCharType="end"/>
      </w:r>
    </w:p>
    <w:p w:rsidR="002559BD" w:rsidRDefault="002559BD">
      <w:pPr>
        <w:pStyle w:val="TableofFigures"/>
        <w:tabs>
          <w:tab w:val="right" w:leader="dot" w:pos="9350"/>
        </w:tabs>
        <w:rPr>
          <w:rFonts w:asciiTheme="minorHAnsi" w:eastAsiaTheme="minorEastAsia" w:hAnsiTheme="minorHAnsi" w:cstheme="minorBidi"/>
          <w:noProof/>
          <w:sz w:val="24"/>
        </w:rPr>
      </w:pPr>
      <w:r>
        <w:rPr>
          <w:noProof/>
        </w:rPr>
        <w:t>Figure 24:  Focal plane layout, labeling modules and outputs (1-4), and the directions of rows and columns.  Note that the focal plane is symmetric under 90 degree rotations, with the exception of the central module, module 13.  Modules 1, 5, 21, and 25 are FGS modules.</w:t>
      </w:r>
      <w:r>
        <w:rPr>
          <w:noProof/>
        </w:rPr>
        <w:tab/>
      </w:r>
      <w:r>
        <w:rPr>
          <w:noProof/>
        </w:rPr>
        <w:fldChar w:fldCharType="begin"/>
      </w:r>
      <w:r>
        <w:rPr>
          <w:noProof/>
        </w:rPr>
        <w:instrText xml:space="preserve"> PAGEREF _Toc322942254 \h </w:instrText>
      </w:r>
      <w:r>
        <w:rPr>
          <w:noProof/>
        </w:rPr>
      </w:r>
      <w:r>
        <w:rPr>
          <w:noProof/>
        </w:rPr>
        <w:fldChar w:fldCharType="separate"/>
      </w:r>
      <w:r>
        <w:rPr>
          <w:noProof/>
        </w:rPr>
        <w:t>47</w:t>
      </w:r>
      <w:r>
        <w:rPr>
          <w:noProof/>
        </w:rPr>
        <w:fldChar w:fldCharType="end"/>
      </w:r>
    </w:p>
    <w:p w:rsidR="002559BD" w:rsidRDefault="002559BD">
      <w:pPr>
        <w:pStyle w:val="TableofFigures"/>
        <w:tabs>
          <w:tab w:val="right" w:leader="dot" w:pos="9350"/>
        </w:tabs>
        <w:rPr>
          <w:rFonts w:asciiTheme="minorHAnsi" w:eastAsiaTheme="minorEastAsia" w:hAnsiTheme="minorHAnsi" w:cstheme="minorBidi"/>
          <w:noProof/>
          <w:sz w:val="24"/>
        </w:rPr>
      </w:pPr>
      <w:r>
        <w:rPr>
          <w:noProof/>
        </w:rPr>
        <w:t>Figure 25:  Signal Content Map for a single Channel.  The output amplifier is in the lower left corner.  Serial clocking moves pixels from right to left and Parallel clocking moves pixels down.</w:t>
      </w:r>
      <w:r>
        <w:rPr>
          <w:noProof/>
        </w:rPr>
        <w:tab/>
      </w:r>
      <w:r>
        <w:rPr>
          <w:noProof/>
        </w:rPr>
        <w:fldChar w:fldCharType="begin"/>
      </w:r>
      <w:r>
        <w:rPr>
          <w:noProof/>
        </w:rPr>
        <w:instrText xml:space="preserve"> PAGEREF _Toc322942255 \h </w:instrText>
      </w:r>
      <w:r>
        <w:rPr>
          <w:noProof/>
        </w:rPr>
      </w:r>
      <w:r>
        <w:rPr>
          <w:noProof/>
        </w:rPr>
        <w:fldChar w:fldCharType="separate"/>
      </w:r>
      <w:r>
        <w:rPr>
          <w:noProof/>
        </w:rPr>
        <w:t>50</w:t>
      </w:r>
      <w:r>
        <w:rPr>
          <w:noProof/>
        </w:rPr>
        <w:fldChar w:fldCharType="end"/>
      </w:r>
    </w:p>
    <w:p w:rsidR="002559BD" w:rsidRDefault="002559BD">
      <w:pPr>
        <w:pStyle w:val="TableofFigures"/>
        <w:tabs>
          <w:tab w:val="right" w:leader="dot" w:pos="9350"/>
        </w:tabs>
        <w:rPr>
          <w:rFonts w:asciiTheme="minorHAnsi" w:eastAsiaTheme="minorEastAsia" w:hAnsiTheme="minorHAnsi" w:cstheme="minorBidi"/>
          <w:noProof/>
          <w:sz w:val="24"/>
        </w:rPr>
      </w:pPr>
      <w:r>
        <w:rPr>
          <w:noProof/>
        </w:rPr>
        <w:t>Figure 26:  Channel 10.1 photon transfer gain results, showing nominal results, from Ball document</w:t>
      </w:r>
      <w:r w:rsidRPr="0080020D">
        <w:rPr>
          <w:rFonts w:ascii="ArialMT" w:hAnsi="ArialMT" w:cs="ArialMT"/>
          <w:noProof/>
        </w:rPr>
        <w:t xml:space="preserve"> KEPLER.SER.FPA.020A</w:t>
      </w:r>
      <w:r>
        <w:rPr>
          <w:noProof/>
        </w:rPr>
        <w:t>.  Figure 27 shows linearity results on the same channel.  Abscissa:  square of photon shot noise in DN.  Ordinate: Accumulated photocharge in DN.</w:t>
      </w:r>
      <w:r>
        <w:rPr>
          <w:noProof/>
        </w:rPr>
        <w:tab/>
      </w:r>
      <w:r>
        <w:rPr>
          <w:noProof/>
        </w:rPr>
        <w:fldChar w:fldCharType="begin"/>
      </w:r>
      <w:r>
        <w:rPr>
          <w:noProof/>
        </w:rPr>
        <w:instrText xml:space="preserve"> PAGEREF _Toc322942256 \h </w:instrText>
      </w:r>
      <w:r>
        <w:rPr>
          <w:noProof/>
        </w:rPr>
      </w:r>
      <w:r>
        <w:rPr>
          <w:noProof/>
        </w:rPr>
        <w:fldChar w:fldCharType="separate"/>
      </w:r>
      <w:r>
        <w:rPr>
          <w:noProof/>
        </w:rPr>
        <w:t>51</w:t>
      </w:r>
      <w:r>
        <w:rPr>
          <w:noProof/>
        </w:rPr>
        <w:fldChar w:fldCharType="end"/>
      </w:r>
    </w:p>
    <w:p w:rsidR="002559BD" w:rsidRDefault="002559BD">
      <w:pPr>
        <w:pStyle w:val="TableofFigures"/>
        <w:tabs>
          <w:tab w:val="right" w:leader="dot" w:pos="9350"/>
        </w:tabs>
        <w:rPr>
          <w:rFonts w:asciiTheme="minorHAnsi" w:eastAsiaTheme="minorEastAsia" w:hAnsiTheme="minorHAnsi" w:cstheme="minorBidi"/>
          <w:noProof/>
          <w:sz w:val="24"/>
        </w:rPr>
      </w:pPr>
      <w:r>
        <w:rPr>
          <w:noProof/>
        </w:rPr>
        <w:t xml:space="preserve">Figure 27: Example nonlinearity results, for channel 10.1.  </w:t>
      </w:r>
      <w:r w:rsidRPr="0080020D">
        <w:rPr>
          <w:i/>
          <w:noProof/>
        </w:rPr>
        <w:t>C</w:t>
      </w:r>
      <w:r w:rsidRPr="0080020D">
        <w:rPr>
          <w:i/>
          <w:noProof/>
          <w:vertAlign w:val="subscript"/>
        </w:rPr>
        <w:t>obs</w:t>
      </w:r>
      <w:r>
        <w:rPr>
          <w:noProof/>
        </w:rPr>
        <w:t xml:space="preserve"> is the observed photocharge (in DN) in a pixel, while </w:t>
      </w:r>
      <w:r w:rsidRPr="0080020D">
        <w:rPr>
          <w:i/>
          <w:noProof/>
        </w:rPr>
        <w:t>C</w:t>
      </w:r>
      <w:r w:rsidRPr="0080020D">
        <w:rPr>
          <w:i/>
          <w:noProof/>
          <w:vertAlign w:val="subscript"/>
        </w:rPr>
        <w:t>lin</w:t>
      </w:r>
      <w:r>
        <w:rPr>
          <w:noProof/>
        </w:rPr>
        <w:t xml:space="preserve"> is the linearized photocharge, which is proportional to the photon count, expected on that pixel.  Differential responsivity is </w:t>
      </w:r>
      <w:r w:rsidRPr="0080020D">
        <w:rPr>
          <w:i/>
          <w:noProof/>
        </w:rPr>
        <w:t>dC</w:t>
      </w:r>
      <w:r w:rsidRPr="0080020D">
        <w:rPr>
          <w:i/>
          <w:noProof/>
          <w:vertAlign w:val="subscript"/>
        </w:rPr>
        <w:t>obs</w:t>
      </w:r>
      <w:r w:rsidRPr="0080020D">
        <w:rPr>
          <w:i/>
          <w:noProof/>
        </w:rPr>
        <w:t>/dC</w:t>
      </w:r>
      <w:r w:rsidRPr="0080020D">
        <w:rPr>
          <w:i/>
          <w:noProof/>
          <w:vertAlign w:val="subscript"/>
        </w:rPr>
        <w:t>lin</w:t>
      </w:r>
      <w:r>
        <w:rPr>
          <w:noProof/>
        </w:rPr>
        <w:t xml:space="preserve">. The maximum observable signal </w:t>
      </w:r>
      <w:r w:rsidRPr="0080020D">
        <w:rPr>
          <w:i/>
          <w:noProof/>
        </w:rPr>
        <w:t>C</w:t>
      </w:r>
      <w:r w:rsidRPr="0080020D">
        <w:rPr>
          <w:i/>
          <w:noProof/>
          <w:vertAlign w:val="subscript"/>
        </w:rPr>
        <w:t>obs_max</w:t>
      </w:r>
      <w:r>
        <w:rPr>
          <w:noProof/>
        </w:rPr>
        <w:t xml:space="preserve"> is 11971 DN, and the well depth 10093 DN. Well depth is marked as a red line.  Figure 26 shows the gain results on the same channel.</w:t>
      </w:r>
      <w:r>
        <w:rPr>
          <w:noProof/>
        </w:rPr>
        <w:tab/>
      </w:r>
      <w:r>
        <w:rPr>
          <w:noProof/>
        </w:rPr>
        <w:fldChar w:fldCharType="begin"/>
      </w:r>
      <w:r>
        <w:rPr>
          <w:noProof/>
        </w:rPr>
        <w:instrText xml:space="preserve"> PAGEREF _Toc322942257 \h </w:instrText>
      </w:r>
      <w:r>
        <w:rPr>
          <w:noProof/>
        </w:rPr>
      </w:r>
      <w:r>
        <w:rPr>
          <w:noProof/>
        </w:rPr>
        <w:fldChar w:fldCharType="separate"/>
      </w:r>
      <w:r>
        <w:rPr>
          <w:noProof/>
        </w:rPr>
        <w:t>53</w:t>
      </w:r>
      <w:r>
        <w:rPr>
          <w:noProof/>
        </w:rPr>
        <w:fldChar w:fldCharType="end"/>
      </w:r>
    </w:p>
    <w:p w:rsidR="002559BD" w:rsidRDefault="002559BD">
      <w:pPr>
        <w:pStyle w:val="TableofFigures"/>
        <w:tabs>
          <w:tab w:val="right" w:leader="dot" w:pos="9350"/>
        </w:tabs>
        <w:rPr>
          <w:rFonts w:asciiTheme="minorHAnsi" w:eastAsiaTheme="minorEastAsia" w:hAnsiTheme="minorHAnsi" w:cstheme="minorBidi"/>
          <w:noProof/>
          <w:sz w:val="24"/>
        </w:rPr>
      </w:pPr>
      <w:r>
        <w:rPr>
          <w:noProof/>
        </w:rPr>
        <w:t>Figure 28:  DNL for ECA-503 (also known as ECA-4), channel 1</w:t>
      </w:r>
      <w:r>
        <w:rPr>
          <w:noProof/>
        </w:rPr>
        <w:tab/>
      </w:r>
      <w:r>
        <w:rPr>
          <w:noProof/>
        </w:rPr>
        <w:fldChar w:fldCharType="begin"/>
      </w:r>
      <w:r>
        <w:rPr>
          <w:noProof/>
        </w:rPr>
        <w:instrText xml:space="preserve"> PAGEREF _Toc322942258 \h </w:instrText>
      </w:r>
      <w:r>
        <w:rPr>
          <w:noProof/>
        </w:rPr>
      </w:r>
      <w:r>
        <w:rPr>
          <w:noProof/>
        </w:rPr>
        <w:fldChar w:fldCharType="separate"/>
      </w:r>
      <w:r>
        <w:rPr>
          <w:noProof/>
        </w:rPr>
        <w:t>54</w:t>
      </w:r>
      <w:r>
        <w:rPr>
          <w:noProof/>
        </w:rPr>
        <w:fldChar w:fldCharType="end"/>
      </w:r>
    </w:p>
    <w:p w:rsidR="002559BD" w:rsidRDefault="002559BD">
      <w:pPr>
        <w:pStyle w:val="TableofFigures"/>
        <w:tabs>
          <w:tab w:val="right" w:leader="dot" w:pos="9350"/>
        </w:tabs>
        <w:rPr>
          <w:rFonts w:asciiTheme="minorHAnsi" w:eastAsiaTheme="minorEastAsia" w:hAnsiTheme="minorHAnsi" w:cstheme="minorBidi"/>
          <w:noProof/>
          <w:sz w:val="24"/>
        </w:rPr>
      </w:pPr>
      <w:r>
        <w:rPr>
          <w:noProof/>
        </w:rPr>
        <w:t>Figure 29:  Average response across columns (all rows of PRNU image averaged together) for Module 15. The periodic drops in response of ~0.05% were seen in the module tests at the same relative depth. The period of the response variation is 11.56 pixels. Similar response variations are seen in all module outputs  Figure from [Caldwell, 2007].</w:t>
      </w:r>
      <w:r>
        <w:rPr>
          <w:noProof/>
        </w:rPr>
        <w:tab/>
      </w:r>
      <w:r>
        <w:rPr>
          <w:noProof/>
        </w:rPr>
        <w:fldChar w:fldCharType="begin"/>
      </w:r>
      <w:r>
        <w:rPr>
          <w:noProof/>
        </w:rPr>
        <w:instrText xml:space="preserve"> PAGEREF _Toc322942259 \h </w:instrText>
      </w:r>
      <w:r>
        <w:rPr>
          <w:noProof/>
        </w:rPr>
      </w:r>
      <w:r>
        <w:rPr>
          <w:noProof/>
        </w:rPr>
        <w:fldChar w:fldCharType="separate"/>
      </w:r>
      <w:r>
        <w:rPr>
          <w:noProof/>
        </w:rPr>
        <w:t>56</w:t>
      </w:r>
      <w:r>
        <w:rPr>
          <w:noProof/>
        </w:rPr>
        <w:fldChar w:fldCharType="end"/>
      </w:r>
    </w:p>
    <w:p w:rsidR="002559BD" w:rsidRDefault="002559BD">
      <w:pPr>
        <w:pStyle w:val="TableofFigures"/>
        <w:tabs>
          <w:tab w:val="right" w:leader="dot" w:pos="9350"/>
        </w:tabs>
        <w:rPr>
          <w:rFonts w:asciiTheme="minorHAnsi" w:eastAsiaTheme="minorEastAsia" w:hAnsiTheme="minorHAnsi" w:cstheme="minorBidi"/>
          <w:noProof/>
          <w:sz w:val="24"/>
        </w:rPr>
      </w:pPr>
      <w:r>
        <w:rPr>
          <w:noProof/>
        </w:rPr>
        <w:t xml:space="preserve">Figure 30:  Contour map of Tek 1024 back-illuminated CCD response from Jorden </w:t>
      </w:r>
      <w:r w:rsidRPr="0080020D">
        <w:rPr>
          <w:i/>
          <w:noProof/>
        </w:rPr>
        <w:t>et al.</w:t>
      </w:r>
      <w:r>
        <w:rPr>
          <w:noProof/>
        </w:rPr>
        <w:t xml:space="preserve"> (1994).  The 1/3 pixel periodicity in this 3 phase device is replaced by a 1/4 pixel periodicity in the </w:t>
      </w:r>
      <w:r w:rsidRPr="0080020D">
        <w:rPr>
          <w:i/>
          <w:noProof/>
        </w:rPr>
        <w:t>Kepler</w:t>
      </w:r>
      <w:r>
        <w:rPr>
          <w:noProof/>
        </w:rPr>
        <w:t xml:space="preserve"> 4-phase devices.</w:t>
      </w:r>
      <w:r>
        <w:rPr>
          <w:noProof/>
        </w:rPr>
        <w:tab/>
      </w:r>
      <w:r>
        <w:rPr>
          <w:noProof/>
        </w:rPr>
        <w:fldChar w:fldCharType="begin"/>
      </w:r>
      <w:r>
        <w:rPr>
          <w:noProof/>
        </w:rPr>
        <w:instrText xml:space="preserve"> PAGEREF _Toc322942260 \h </w:instrText>
      </w:r>
      <w:r>
        <w:rPr>
          <w:noProof/>
        </w:rPr>
      </w:r>
      <w:r>
        <w:rPr>
          <w:noProof/>
        </w:rPr>
        <w:fldChar w:fldCharType="separate"/>
      </w:r>
      <w:r>
        <w:rPr>
          <w:noProof/>
        </w:rPr>
        <w:t>57</w:t>
      </w:r>
      <w:r>
        <w:rPr>
          <w:noProof/>
        </w:rPr>
        <w:fldChar w:fldCharType="end"/>
      </w:r>
    </w:p>
    <w:p w:rsidR="002559BD" w:rsidRDefault="002559BD">
      <w:pPr>
        <w:pStyle w:val="TableofFigures"/>
        <w:tabs>
          <w:tab w:val="right" w:leader="dot" w:pos="9350"/>
        </w:tabs>
        <w:rPr>
          <w:rFonts w:asciiTheme="minorHAnsi" w:eastAsiaTheme="minorEastAsia" w:hAnsiTheme="minorHAnsi" w:cstheme="minorBidi"/>
          <w:noProof/>
          <w:sz w:val="24"/>
        </w:rPr>
      </w:pPr>
      <w:r>
        <w:rPr>
          <w:noProof/>
        </w:rPr>
        <w:t>Figure 31:  Cosmic Ray pixel event charge dump histogram for Channel 13.1 in units of e-.  These single-integration FFI data were collected in the dark, before dust cover ejection, during Commissioning.  Only pixel events exceeding 6x the 100 e- read noise threshold are shown.</w:t>
      </w:r>
      <w:r>
        <w:rPr>
          <w:noProof/>
        </w:rPr>
        <w:tab/>
      </w:r>
      <w:r>
        <w:rPr>
          <w:noProof/>
        </w:rPr>
        <w:fldChar w:fldCharType="begin"/>
      </w:r>
      <w:r>
        <w:rPr>
          <w:noProof/>
        </w:rPr>
        <w:instrText xml:space="preserve"> PAGEREF _Toc322942261 \h </w:instrText>
      </w:r>
      <w:r>
        <w:rPr>
          <w:noProof/>
        </w:rPr>
      </w:r>
      <w:r>
        <w:rPr>
          <w:noProof/>
        </w:rPr>
        <w:fldChar w:fldCharType="separate"/>
      </w:r>
      <w:r>
        <w:rPr>
          <w:noProof/>
        </w:rPr>
        <w:t>59</w:t>
      </w:r>
      <w:r>
        <w:rPr>
          <w:noProof/>
        </w:rPr>
        <w:fldChar w:fldCharType="end"/>
      </w:r>
    </w:p>
    <w:p w:rsidR="002559BD" w:rsidRDefault="002559BD">
      <w:pPr>
        <w:pStyle w:val="TableofFigures"/>
        <w:tabs>
          <w:tab w:val="right" w:leader="dot" w:pos="9350"/>
        </w:tabs>
        <w:rPr>
          <w:rFonts w:asciiTheme="minorHAnsi" w:eastAsiaTheme="minorEastAsia" w:hAnsiTheme="minorHAnsi" w:cstheme="minorBidi"/>
          <w:noProof/>
          <w:sz w:val="24"/>
        </w:rPr>
      </w:pPr>
      <w:r>
        <w:rPr>
          <w:noProof/>
        </w:rPr>
        <w:t>Figure 32:  Interesting Cosmic Ray Events seen in pre-DCE Commissioning data.</w:t>
      </w:r>
      <w:r>
        <w:rPr>
          <w:noProof/>
        </w:rPr>
        <w:tab/>
      </w:r>
      <w:r>
        <w:rPr>
          <w:noProof/>
        </w:rPr>
        <w:fldChar w:fldCharType="begin"/>
      </w:r>
      <w:r>
        <w:rPr>
          <w:noProof/>
        </w:rPr>
        <w:instrText xml:space="preserve"> PAGEREF _Toc322942262 \h </w:instrText>
      </w:r>
      <w:r>
        <w:rPr>
          <w:noProof/>
        </w:rPr>
      </w:r>
      <w:r>
        <w:rPr>
          <w:noProof/>
        </w:rPr>
        <w:fldChar w:fldCharType="separate"/>
      </w:r>
      <w:r>
        <w:rPr>
          <w:noProof/>
        </w:rPr>
        <w:t>60</w:t>
      </w:r>
      <w:r>
        <w:rPr>
          <w:noProof/>
        </w:rPr>
        <w:fldChar w:fldCharType="end"/>
      </w:r>
    </w:p>
    <w:p w:rsidR="002559BD" w:rsidRDefault="002559BD">
      <w:pPr>
        <w:pStyle w:val="TableofFigures"/>
        <w:tabs>
          <w:tab w:val="right" w:leader="dot" w:pos="9350"/>
        </w:tabs>
        <w:rPr>
          <w:rFonts w:asciiTheme="minorHAnsi" w:eastAsiaTheme="minorEastAsia" w:hAnsiTheme="minorHAnsi" w:cstheme="minorBidi"/>
          <w:noProof/>
          <w:sz w:val="24"/>
        </w:rPr>
      </w:pPr>
      <w:r>
        <w:rPr>
          <w:noProof/>
        </w:rPr>
        <w:t>Figure 33:  Cutaway view of LDE.</w:t>
      </w:r>
      <w:r>
        <w:rPr>
          <w:noProof/>
        </w:rPr>
        <w:tab/>
      </w:r>
      <w:r>
        <w:rPr>
          <w:noProof/>
        </w:rPr>
        <w:fldChar w:fldCharType="begin"/>
      </w:r>
      <w:r>
        <w:rPr>
          <w:noProof/>
        </w:rPr>
        <w:instrText xml:space="preserve"> PAGEREF _Toc322942263 \h </w:instrText>
      </w:r>
      <w:r>
        <w:rPr>
          <w:noProof/>
        </w:rPr>
      </w:r>
      <w:r>
        <w:rPr>
          <w:noProof/>
        </w:rPr>
        <w:fldChar w:fldCharType="separate"/>
      </w:r>
      <w:r>
        <w:rPr>
          <w:noProof/>
        </w:rPr>
        <w:t>62</w:t>
      </w:r>
      <w:r>
        <w:rPr>
          <w:noProof/>
        </w:rPr>
        <w:fldChar w:fldCharType="end"/>
      </w:r>
    </w:p>
    <w:p w:rsidR="002559BD" w:rsidRDefault="002559BD">
      <w:pPr>
        <w:pStyle w:val="TableofFigures"/>
        <w:tabs>
          <w:tab w:val="right" w:leader="dot" w:pos="9350"/>
        </w:tabs>
        <w:rPr>
          <w:rFonts w:asciiTheme="minorHAnsi" w:eastAsiaTheme="minorEastAsia" w:hAnsiTheme="minorHAnsi" w:cstheme="minorBidi"/>
          <w:noProof/>
          <w:sz w:val="24"/>
        </w:rPr>
      </w:pPr>
      <w:r>
        <w:rPr>
          <w:noProof/>
        </w:rPr>
        <w:t>Figure 34:  LDE Circuit Mapping and Time Slice Locations.  Each module is labeled by FPA number (also called module number), ECA and CCD interface number, and time slice.  Each of the 4 outputs for each module is shown by a number 1-4 in each quadrant of the module.  This Figure complements Figure 24.  The view in the spacecraft +X direction is from the primary mirror towards the corrector.</w:t>
      </w:r>
      <w:r>
        <w:rPr>
          <w:noProof/>
        </w:rPr>
        <w:tab/>
      </w:r>
      <w:r>
        <w:rPr>
          <w:noProof/>
        </w:rPr>
        <w:fldChar w:fldCharType="begin"/>
      </w:r>
      <w:r>
        <w:rPr>
          <w:noProof/>
        </w:rPr>
        <w:instrText xml:space="preserve"> PAGEREF _Toc322942264 \h </w:instrText>
      </w:r>
      <w:r>
        <w:rPr>
          <w:noProof/>
        </w:rPr>
      </w:r>
      <w:r>
        <w:rPr>
          <w:noProof/>
        </w:rPr>
        <w:fldChar w:fldCharType="separate"/>
      </w:r>
      <w:r>
        <w:rPr>
          <w:noProof/>
        </w:rPr>
        <w:t>63</w:t>
      </w:r>
      <w:r>
        <w:rPr>
          <w:noProof/>
        </w:rPr>
        <w:fldChar w:fldCharType="end"/>
      </w:r>
    </w:p>
    <w:p w:rsidR="002559BD" w:rsidRDefault="002559BD">
      <w:pPr>
        <w:pStyle w:val="TableofFigures"/>
        <w:tabs>
          <w:tab w:val="right" w:leader="dot" w:pos="9350"/>
        </w:tabs>
        <w:rPr>
          <w:rFonts w:asciiTheme="minorHAnsi" w:eastAsiaTheme="minorEastAsia" w:hAnsiTheme="minorHAnsi" w:cstheme="minorBidi"/>
          <w:noProof/>
          <w:sz w:val="24"/>
        </w:rPr>
      </w:pPr>
      <w:r>
        <w:rPr>
          <w:noProof/>
        </w:rPr>
        <w:t>Figure 35:  Mean LDE board temperature over a year (Q5-Q8), showing the effect of quarterly rolls, 30 day downlink maneuvers, and safe modes.  See the DRNs or KDCH for details of historical events in this time interval.</w:t>
      </w:r>
      <w:r>
        <w:rPr>
          <w:noProof/>
        </w:rPr>
        <w:tab/>
      </w:r>
      <w:r>
        <w:rPr>
          <w:noProof/>
        </w:rPr>
        <w:fldChar w:fldCharType="begin"/>
      </w:r>
      <w:r>
        <w:rPr>
          <w:noProof/>
        </w:rPr>
        <w:instrText xml:space="preserve"> PAGEREF _Toc322942265 \h </w:instrText>
      </w:r>
      <w:r>
        <w:rPr>
          <w:noProof/>
        </w:rPr>
      </w:r>
      <w:r>
        <w:rPr>
          <w:noProof/>
        </w:rPr>
        <w:fldChar w:fldCharType="separate"/>
      </w:r>
      <w:r>
        <w:rPr>
          <w:noProof/>
        </w:rPr>
        <w:t>66</w:t>
      </w:r>
      <w:r>
        <w:rPr>
          <w:noProof/>
        </w:rPr>
        <w:fldChar w:fldCharType="end"/>
      </w:r>
    </w:p>
    <w:p w:rsidR="002559BD" w:rsidRDefault="002559BD">
      <w:pPr>
        <w:pStyle w:val="TableofFigures"/>
        <w:tabs>
          <w:tab w:val="right" w:leader="dot" w:pos="9350"/>
        </w:tabs>
        <w:rPr>
          <w:rFonts w:asciiTheme="minorHAnsi" w:eastAsiaTheme="minorEastAsia" w:hAnsiTheme="minorHAnsi" w:cstheme="minorBidi"/>
          <w:noProof/>
          <w:sz w:val="24"/>
        </w:rPr>
      </w:pPr>
      <w:r>
        <w:rPr>
          <w:noProof/>
        </w:rPr>
        <w:t>Figure 36:  Dark 270-frame FFI of Channel 11.3 showing FGS Parallel Transfer crosstalk (diagonal hash) and Frame Transfer crosstalk (horizontal lines).  Everything else is a science pixel collected during an FGS Serial Transfer.  The FGS Parallel Transfer crosstalk regions are spread by analog signal propagation from the theoretical width of 16 pixels to the observed width of 32 pixels.  The image is linearly scaled to 26 DN/frame.</w:t>
      </w:r>
      <w:r>
        <w:rPr>
          <w:noProof/>
        </w:rPr>
        <w:tab/>
      </w:r>
      <w:r>
        <w:rPr>
          <w:noProof/>
        </w:rPr>
        <w:fldChar w:fldCharType="begin"/>
      </w:r>
      <w:r>
        <w:rPr>
          <w:noProof/>
        </w:rPr>
        <w:instrText xml:space="preserve"> PAGEREF _Toc322942266 \h </w:instrText>
      </w:r>
      <w:r>
        <w:rPr>
          <w:noProof/>
        </w:rPr>
      </w:r>
      <w:r>
        <w:rPr>
          <w:noProof/>
        </w:rPr>
        <w:fldChar w:fldCharType="separate"/>
      </w:r>
      <w:r>
        <w:rPr>
          <w:noProof/>
        </w:rPr>
        <w:t>67</w:t>
      </w:r>
      <w:r>
        <w:rPr>
          <w:noProof/>
        </w:rPr>
        <w:fldChar w:fldCharType="end"/>
      </w:r>
    </w:p>
    <w:p w:rsidR="002559BD" w:rsidRDefault="002559BD">
      <w:pPr>
        <w:pStyle w:val="TableofFigures"/>
        <w:tabs>
          <w:tab w:val="right" w:leader="dot" w:pos="9350"/>
        </w:tabs>
        <w:rPr>
          <w:rFonts w:asciiTheme="minorHAnsi" w:eastAsiaTheme="minorEastAsia" w:hAnsiTheme="minorHAnsi" w:cstheme="minorBidi"/>
          <w:noProof/>
          <w:sz w:val="24"/>
        </w:rPr>
      </w:pPr>
      <w:r>
        <w:rPr>
          <w:noProof/>
        </w:rPr>
        <w:t>Figure 37:  Zoom showing Parallel and Frame Transfer pixels in detail, marked as “Zoom 3” in Figure 36.  Note that the crosstalk has a widely varying amplitude within each crosstalk type. The image is linearly scaled to 26 DN/frame.</w:t>
      </w:r>
      <w:r>
        <w:rPr>
          <w:noProof/>
        </w:rPr>
        <w:tab/>
      </w:r>
      <w:r>
        <w:rPr>
          <w:noProof/>
        </w:rPr>
        <w:fldChar w:fldCharType="begin"/>
      </w:r>
      <w:r>
        <w:rPr>
          <w:noProof/>
        </w:rPr>
        <w:instrText xml:space="preserve"> PAGEREF _Toc322942267 \h </w:instrText>
      </w:r>
      <w:r>
        <w:rPr>
          <w:noProof/>
        </w:rPr>
      </w:r>
      <w:r>
        <w:rPr>
          <w:noProof/>
        </w:rPr>
        <w:fldChar w:fldCharType="separate"/>
      </w:r>
      <w:r>
        <w:rPr>
          <w:noProof/>
        </w:rPr>
        <w:t>68</w:t>
      </w:r>
      <w:r>
        <w:rPr>
          <w:noProof/>
        </w:rPr>
        <w:fldChar w:fldCharType="end"/>
      </w:r>
    </w:p>
    <w:p w:rsidR="002559BD" w:rsidRDefault="002559BD">
      <w:pPr>
        <w:pStyle w:val="TableofFigures"/>
        <w:tabs>
          <w:tab w:val="right" w:leader="dot" w:pos="9350"/>
        </w:tabs>
        <w:rPr>
          <w:rFonts w:asciiTheme="minorHAnsi" w:eastAsiaTheme="minorEastAsia" w:hAnsiTheme="minorHAnsi" w:cstheme="minorBidi"/>
          <w:noProof/>
          <w:sz w:val="24"/>
        </w:rPr>
      </w:pPr>
      <w:r>
        <w:rPr>
          <w:noProof/>
        </w:rPr>
        <w:t>Figure 38:  Video crosstalk in module 11, outputs 1-4 from left to right.  The bright star is in output 4, which crosstalks as a negative image into output 3, and weak positive images into outputs 1 and 2 (somewhat obscured by adjacent bright star and high star density).  Circled numbers corresponding to each output point at the video crosstalk feature (outputs 1-3) and the center of the star image (for output 4).  Note that the charge bleed column also crosstalks.  Output 4 also shows a field flattener lens ghost (§3.10).</w:t>
      </w:r>
      <w:r>
        <w:rPr>
          <w:noProof/>
        </w:rPr>
        <w:tab/>
      </w:r>
      <w:r>
        <w:rPr>
          <w:noProof/>
        </w:rPr>
        <w:fldChar w:fldCharType="begin"/>
      </w:r>
      <w:r>
        <w:rPr>
          <w:noProof/>
        </w:rPr>
        <w:instrText xml:space="preserve"> PAGEREF _Toc322942268 \h </w:instrText>
      </w:r>
      <w:r>
        <w:rPr>
          <w:noProof/>
        </w:rPr>
      </w:r>
      <w:r>
        <w:rPr>
          <w:noProof/>
        </w:rPr>
        <w:fldChar w:fldCharType="separate"/>
      </w:r>
      <w:r>
        <w:rPr>
          <w:noProof/>
        </w:rPr>
        <w:t>69</w:t>
      </w:r>
      <w:r>
        <w:rPr>
          <w:noProof/>
        </w:rPr>
        <w:fldChar w:fldCharType="end"/>
      </w:r>
    </w:p>
    <w:p w:rsidR="002559BD" w:rsidRDefault="002559BD">
      <w:pPr>
        <w:pStyle w:val="TableofFigures"/>
        <w:tabs>
          <w:tab w:val="right" w:leader="dot" w:pos="9350"/>
        </w:tabs>
        <w:rPr>
          <w:rFonts w:asciiTheme="minorHAnsi" w:eastAsiaTheme="minorEastAsia" w:hAnsiTheme="minorHAnsi" w:cstheme="minorBidi"/>
          <w:noProof/>
          <w:sz w:val="24"/>
        </w:rPr>
      </w:pPr>
      <w:r>
        <w:rPr>
          <w:noProof/>
        </w:rPr>
        <w:t>Figure 39:  270 frame, 30 minute FFI showing Start-of-Line ringing for the channel requiring the greatest number of terms for a good fit, Channel 14.4. The image is cold, forward-clocked, and linearly scaled between “Clip Min” and “Clip Max.”  Same data as used for Figure 40.</w:t>
      </w:r>
      <w:r>
        <w:rPr>
          <w:noProof/>
        </w:rPr>
        <w:tab/>
      </w:r>
      <w:r>
        <w:rPr>
          <w:noProof/>
        </w:rPr>
        <w:fldChar w:fldCharType="begin"/>
      </w:r>
      <w:r>
        <w:rPr>
          <w:noProof/>
        </w:rPr>
        <w:instrText xml:space="preserve"> PAGEREF _Toc322942269 \h </w:instrText>
      </w:r>
      <w:r>
        <w:rPr>
          <w:noProof/>
        </w:rPr>
      </w:r>
      <w:r>
        <w:rPr>
          <w:noProof/>
        </w:rPr>
        <w:fldChar w:fldCharType="separate"/>
      </w:r>
      <w:r>
        <w:rPr>
          <w:noProof/>
        </w:rPr>
        <w:t>71</w:t>
      </w:r>
      <w:r>
        <w:rPr>
          <w:noProof/>
        </w:rPr>
        <w:fldChar w:fldCharType="end"/>
      </w:r>
    </w:p>
    <w:p w:rsidR="002559BD" w:rsidRDefault="002559BD">
      <w:pPr>
        <w:pStyle w:val="TableofFigures"/>
        <w:tabs>
          <w:tab w:val="right" w:leader="dot" w:pos="9350"/>
        </w:tabs>
        <w:rPr>
          <w:rFonts w:asciiTheme="minorHAnsi" w:eastAsiaTheme="minorEastAsia" w:hAnsiTheme="minorHAnsi" w:cstheme="minorBidi"/>
          <w:noProof/>
          <w:sz w:val="24"/>
        </w:rPr>
      </w:pPr>
      <w:r>
        <w:rPr>
          <w:noProof/>
        </w:rPr>
        <w:t>Figure 40:  5-term damped oscillator fit to Start-of-Line ringing for the channel requiring the greatest number of terms for a good fit, Channel 14.4.  Left:  Fit to data.  Right:  Residuals showing that the 5-term fit has residuals &lt; 0.02 DN/read.  Same data as in Figure 39.</w:t>
      </w:r>
      <w:r>
        <w:rPr>
          <w:noProof/>
        </w:rPr>
        <w:tab/>
      </w:r>
      <w:r>
        <w:rPr>
          <w:noProof/>
        </w:rPr>
        <w:fldChar w:fldCharType="begin"/>
      </w:r>
      <w:r>
        <w:rPr>
          <w:noProof/>
        </w:rPr>
        <w:instrText xml:space="preserve"> PAGEREF _Toc322942270 \h </w:instrText>
      </w:r>
      <w:r>
        <w:rPr>
          <w:noProof/>
        </w:rPr>
      </w:r>
      <w:r>
        <w:rPr>
          <w:noProof/>
        </w:rPr>
        <w:fldChar w:fldCharType="separate"/>
      </w:r>
      <w:r>
        <w:rPr>
          <w:noProof/>
        </w:rPr>
        <w:t>72</w:t>
      </w:r>
      <w:r>
        <w:rPr>
          <w:noProof/>
        </w:rPr>
        <w:fldChar w:fldCharType="end"/>
      </w:r>
    </w:p>
    <w:p w:rsidR="002559BD" w:rsidRDefault="002559BD">
      <w:pPr>
        <w:pStyle w:val="TableofFigures"/>
        <w:tabs>
          <w:tab w:val="right" w:leader="dot" w:pos="9350"/>
        </w:tabs>
        <w:rPr>
          <w:rFonts w:asciiTheme="minorHAnsi" w:eastAsiaTheme="minorEastAsia" w:hAnsiTheme="minorHAnsi" w:cstheme="minorBidi"/>
          <w:noProof/>
          <w:sz w:val="24"/>
        </w:rPr>
      </w:pPr>
      <w:r>
        <w:rPr>
          <w:noProof/>
        </w:rPr>
        <w:t>Figure 41: End of Charge Injection rows, showing Undershoot and FGS Crosstalk examples, in a dark image collected during TVAC.  This image shows the largest undershoot observed when the CCD is cold, in channel 11.3.</w:t>
      </w:r>
      <w:r>
        <w:rPr>
          <w:noProof/>
        </w:rPr>
        <w:tab/>
      </w:r>
      <w:r>
        <w:rPr>
          <w:noProof/>
        </w:rPr>
        <w:fldChar w:fldCharType="begin"/>
      </w:r>
      <w:r>
        <w:rPr>
          <w:noProof/>
        </w:rPr>
        <w:instrText xml:space="preserve"> PAGEREF _Toc322942271 \h </w:instrText>
      </w:r>
      <w:r>
        <w:rPr>
          <w:noProof/>
        </w:rPr>
      </w:r>
      <w:r>
        <w:rPr>
          <w:noProof/>
        </w:rPr>
        <w:fldChar w:fldCharType="separate"/>
      </w:r>
      <w:r>
        <w:rPr>
          <w:noProof/>
        </w:rPr>
        <w:t>73</w:t>
      </w:r>
      <w:r>
        <w:rPr>
          <w:noProof/>
        </w:rPr>
        <w:fldChar w:fldCharType="end"/>
      </w:r>
    </w:p>
    <w:p w:rsidR="002559BD" w:rsidRDefault="002559BD">
      <w:pPr>
        <w:pStyle w:val="TableofFigures"/>
        <w:tabs>
          <w:tab w:val="right" w:leader="dot" w:pos="9350"/>
        </w:tabs>
        <w:rPr>
          <w:rFonts w:asciiTheme="minorHAnsi" w:eastAsiaTheme="minorEastAsia" w:hAnsiTheme="minorHAnsi" w:cstheme="minorBidi"/>
          <w:noProof/>
          <w:sz w:val="24"/>
        </w:rPr>
      </w:pPr>
      <w:r>
        <w:rPr>
          <w:noProof/>
        </w:rPr>
        <w:t>Figure 42:  Undershoot adjacent to charge bleeding column in Channel 11.3.  Because of the sub-pixel location of the star, there is bleeding in two columns, with a greater extent in the rightmost bleeding column, for which the extent of bleeding is marked by green arrows.  The two columns to the right of the bleeding columns show the undershoot in black.  FGS Parallel Transfer crosstalk, 8-fold symmetric scattered light, stars, and smear are also visible in this image.</w:t>
      </w:r>
      <w:r>
        <w:rPr>
          <w:noProof/>
        </w:rPr>
        <w:tab/>
      </w:r>
      <w:r>
        <w:rPr>
          <w:noProof/>
        </w:rPr>
        <w:fldChar w:fldCharType="begin"/>
      </w:r>
      <w:r>
        <w:rPr>
          <w:noProof/>
        </w:rPr>
        <w:instrText xml:space="preserve"> PAGEREF _Toc322942272 \h </w:instrText>
      </w:r>
      <w:r>
        <w:rPr>
          <w:noProof/>
        </w:rPr>
      </w:r>
      <w:r>
        <w:rPr>
          <w:noProof/>
        </w:rPr>
        <w:fldChar w:fldCharType="separate"/>
      </w:r>
      <w:r>
        <w:rPr>
          <w:noProof/>
        </w:rPr>
        <w:t>74</w:t>
      </w:r>
      <w:r>
        <w:rPr>
          <w:noProof/>
        </w:rPr>
        <w:fldChar w:fldCharType="end"/>
      </w:r>
    </w:p>
    <w:p w:rsidR="002559BD" w:rsidRDefault="002559BD">
      <w:pPr>
        <w:pStyle w:val="TableofFigures"/>
        <w:tabs>
          <w:tab w:val="right" w:leader="dot" w:pos="9350"/>
        </w:tabs>
        <w:rPr>
          <w:rFonts w:asciiTheme="minorHAnsi" w:eastAsiaTheme="minorEastAsia" w:hAnsiTheme="minorHAnsi" w:cstheme="minorBidi"/>
          <w:noProof/>
          <w:sz w:val="24"/>
        </w:rPr>
      </w:pPr>
      <w:r>
        <w:rPr>
          <w:noProof/>
        </w:rPr>
        <w:t>Figure 43:  Example of Rolling Band low frequency noise, channel 16.2, collected during dark measurements pre-DCE.  Note that there is considerably more structure in the first 300 columns, where SOLR is also found.  SOLR and the black level have been removed from the image to make the Rolling Band more apparent.  The resulting image is scaled linearly over the range shown, or +/- 0.55 DN/frame. Since these data were collected pre-DCE, the board temperatures are ~8 C warmer than during Science operations, so these images are examples which are not necessarily indicative of that channel’s properties during Science operations.</w:t>
      </w:r>
      <w:r>
        <w:rPr>
          <w:noProof/>
        </w:rPr>
        <w:tab/>
      </w:r>
      <w:r>
        <w:rPr>
          <w:noProof/>
        </w:rPr>
        <w:fldChar w:fldCharType="begin"/>
      </w:r>
      <w:r>
        <w:rPr>
          <w:noProof/>
        </w:rPr>
        <w:instrText xml:space="preserve"> PAGEREF _Toc322942273 \h </w:instrText>
      </w:r>
      <w:r>
        <w:rPr>
          <w:noProof/>
        </w:rPr>
      </w:r>
      <w:r>
        <w:rPr>
          <w:noProof/>
        </w:rPr>
        <w:fldChar w:fldCharType="separate"/>
      </w:r>
      <w:r>
        <w:rPr>
          <w:noProof/>
        </w:rPr>
        <w:t>76</w:t>
      </w:r>
      <w:r>
        <w:rPr>
          <w:noProof/>
        </w:rPr>
        <w:fldChar w:fldCharType="end"/>
      </w:r>
    </w:p>
    <w:p w:rsidR="002559BD" w:rsidRDefault="002559BD">
      <w:pPr>
        <w:pStyle w:val="TableofFigures"/>
        <w:tabs>
          <w:tab w:val="right" w:leader="dot" w:pos="9350"/>
        </w:tabs>
        <w:rPr>
          <w:rFonts w:asciiTheme="minorHAnsi" w:eastAsiaTheme="minorEastAsia" w:hAnsiTheme="minorHAnsi" w:cstheme="minorBidi"/>
          <w:noProof/>
          <w:sz w:val="24"/>
        </w:rPr>
      </w:pPr>
      <w:r>
        <w:rPr>
          <w:noProof/>
        </w:rPr>
        <w:t>Figure 44: Example of Rolling Band low frequency noise collected during dark measurements collected pre-DCE.   Same channel, integration parameters, SOLR and black removal, and scaling as in Figure 43, but collected 2.5 hr later.  The Rolling Band has moved upward and in subsequent FFIs has moved out of the image.  The zoom boxes are shown below (Figure 45) in the discussion of Moire patterns.</w:t>
      </w:r>
      <w:r>
        <w:rPr>
          <w:noProof/>
        </w:rPr>
        <w:tab/>
      </w:r>
      <w:r>
        <w:rPr>
          <w:noProof/>
        </w:rPr>
        <w:fldChar w:fldCharType="begin"/>
      </w:r>
      <w:r>
        <w:rPr>
          <w:noProof/>
        </w:rPr>
        <w:instrText xml:space="preserve"> PAGEREF _Toc322942274 \h </w:instrText>
      </w:r>
      <w:r>
        <w:rPr>
          <w:noProof/>
        </w:rPr>
      </w:r>
      <w:r>
        <w:rPr>
          <w:noProof/>
        </w:rPr>
        <w:fldChar w:fldCharType="separate"/>
      </w:r>
      <w:r>
        <w:rPr>
          <w:noProof/>
        </w:rPr>
        <w:t>77</w:t>
      </w:r>
      <w:r>
        <w:rPr>
          <w:noProof/>
        </w:rPr>
        <w:fldChar w:fldCharType="end"/>
      </w:r>
    </w:p>
    <w:p w:rsidR="002559BD" w:rsidRDefault="002559BD">
      <w:pPr>
        <w:pStyle w:val="TableofFigures"/>
        <w:tabs>
          <w:tab w:val="right" w:leader="dot" w:pos="9350"/>
        </w:tabs>
        <w:rPr>
          <w:rFonts w:asciiTheme="minorHAnsi" w:eastAsiaTheme="minorEastAsia" w:hAnsiTheme="minorHAnsi" w:cstheme="minorBidi"/>
          <w:noProof/>
          <w:sz w:val="24"/>
        </w:rPr>
      </w:pPr>
      <w:r>
        <w:rPr>
          <w:noProof/>
        </w:rPr>
        <w:t>Figure 45:  Moiré patterns, from the zoom boxes shown in Figure 44.  Scaling is linear, +/- 0.28 DN/frame.  Black horizontal patterns are FGS crosstalk.</w:t>
      </w:r>
      <w:r>
        <w:rPr>
          <w:noProof/>
        </w:rPr>
        <w:tab/>
      </w:r>
      <w:r>
        <w:rPr>
          <w:noProof/>
        </w:rPr>
        <w:fldChar w:fldCharType="begin"/>
      </w:r>
      <w:r>
        <w:rPr>
          <w:noProof/>
        </w:rPr>
        <w:instrText xml:space="preserve"> PAGEREF _Toc322942275 \h </w:instrText>
      </w:r>
      <w:r>
        <w:rPr>
          <w:noProof/>
        </w:rPr>
      </w:r>
      <w:r>
        <w:rPr>
          <w:noProof/>
        </w:rPr>
        <w:fldChar w:fldCharType="separate"/>
      </w:r>
      <w:r>
        <w:rPr>
          <w:noProof/>
        </w:rPr>
        <w:t>78</w:t>
      </w:r>
      <w:r>
        <w:rPr>
          <w:noProof/>
        </w:rPr>
        <w:fldChar w:fldCharType="end"/>
      </w:r>
    </w:p>
    <w:p w:rsidR="002559BD" w:rsidRDefault="002559BD">
      <w:pPr>
        <w:pStyle w:val="TableofFigures"/>
        <w:tabs>
          <w:tab w:val="right" w:leader="dot" w:pos="9350"/>
        </w:tabs>
        <w:rPr>
          <w:rFonts w:asciiTheme="minorHAnsi" w:eastAsiaTheme="minorEastAsia" w:hAnsiTheme="minorHAnsi" w:cstheme="minorBidi"/>
          <w:noProof/>
          <w:sz w:val="24"/>
        </w:rPr>
      </w:pPr>
      <w:r>
        <w:rPr>
          <w:noProof/>
        </w:rPr>
        <w:t>Figure 46:  Row-by-row Fourier Transform of data shown in Figure 44 and Figure 45.  Vertical axis is row, horizontal axis is cycles per column. The Moiré pattern is the parabolic, grey arc (highlighted by green arrows).  The zero crossing is where the parabolic grey arc intersects the left vertical axis near the top of the image, and the corresponding Nyquist crossing is where the arc intersects the right vertical axis.  Note that the zero crossing of the Moiré frequency coincides with the position of the Rolling Band shown in Figure 44.  Horizontal lines are cosmic-ray hits.</w:t>
      </w:r>
      <w:r>
        <w:rPr>
          <w:noProof/>
        </w:rPr>
        <w:tab/>
      </w:r>
      <w:r>
        <w:rPr>
          <w:noProof/>
        </w:rPr>
        <w:fldChar w:fldCharType="begin"/>
      </w:r>
      <w:r>
        <w:rPr>
          <w:noProof/>
        </w:rPr>
        <w:instrText xml:space="preserve"> PAGEREF _Toc322942276 \h </w:instrText>
      </w:r>
      <w:r>
        <w:rPr>
          <w:noProof/>
        </w:rPr>
      </w:r>
      <w:r>
        <w:rPr>
          <w:noProof/>
        </w:rPr>
        <w:fldChar w:fldCharType="separate"/>
      </w:r>
      <w:r>
        <w:rPr>
          <w:noProof/>
        </w:rPr>
        <w:t>79</w:t>
      </w:r>
      <w:r>
        <w:rPr>
          <w:noProof/>
        </w:rPr>
        <w:fldChar w:fldCharType="end"/>
      </w:r>
    </w:p>
    <w:p w:rsidR="002559BD" w:rsidRDefault="002559BD">
      <w:pPr>
        <w:pStyle w:val="TableofFigures"/>
        <w:tabs>
          <w:tab w:val="right" w:leader="dot" w:pos="9350"/>
        </w:tabs>
        <w:rPr>
          <w:rFonts w:asciiTheme="minorHAnsi" w:eastAsiaTheme="minorEastAsia" w:hAnsiTheme="minorHAnsi" w:cstheme="minorBidi"/>
          <w:noProof/>
          <w:sz w:val="24"/>
        </w:rPr>
      </w:pPr>
      <w:r>
        <w:rPr>
          <w:noProof/>
        </w:rPr>
        <w:t>Figure 47:  Three examples of excitation of Moiré pattern by bright stars on channel 17.2.  These data were collected at shorter frame times and hence a higher LDE temperature than during Science Operations, so these images are examples and not necessarily indicative of that channel’s properties during Science operations.  The afflicted regions are to the right of each bright source and its charge bleed column, and bounded by the green lines.  Note propagation of artifact into the trailing black region in the rightmost panel.</w:t>
      </w:r>
      <w:r>
        <w:rPr>
          <w:noProof/>
        </w:rPr>
        <w:tab/>
      </w:r>
      <w:r>
        <w:rPr>
          <w:noProof/>
        </w:rPr>
        <w:fldChar w:fldCharType="begin"/>
      </w:r>
      <w:r>
        <w:rPr>
          <w:noProof/>
        </w:rPr>
        <w:instrText xml:space="preserve"> PAGEREF _Toc322942277 \h </w:instrText>
      </w:r>
      <w:r>
        <w:rPr>
          <w:noProof/>
        </w:rPr>
      </w:r>
      <w:r>
        <w:rPr>
          <w:noProof/>
        </w:rPr>
        <w:fldChar w:fldCharType="separate"/>
      </w:r>
      <w:r>
        <w:rPr>
          <w:noProof/>
        </w:rPr>
        <w:t>80</w:t>
      </w:r>
      <w:r>
        <w:rPr>
          <w:noProof/>
        </w:rPr>
        <w:fldChar w:fldCharType="end"/>
      </w:r>
    </w:p>
    <w:p w:rsidR="002559BD" w:rsidRDefault="002559BD">
      <w:pPr>
        <w:pStyle w:val="TableofFigures"/>
        <w:tabs>
          <w:tab w:val="right" w:leader="dot" w:pos="9350"/>
        </w:tabs>
        <w:rPr>
          <w:rFonts w:asciiTheme="minorHAnsi" w:eastAsiaTheme="minorEastAsia" w:hAnsiTheme="minorHAnsi" w:cstheme="minorBidi"/>
          <w:noProof/>
          <w:sz w:val="24"/>
        </w:rPr>
      </w:pPr>
      <w:r>
        <w:rPr>
          <w:noProof/>
        </w:rPr>
        <w:t>Figure 48:  Example Moiré-afflicted photometric time series extracted from columns 41-43 of the Virtual smear region dark TVAC data, channel 9.2.  Abscissa is Long Cadence index.  From Kolodziejczak, 2008.</w:t>
      </w:r>
      <w:r>
        <w:rPr>
          <w:noProof/>
        </w:rPr>
        <w:tab/>
      </w:r>
      <w:r>
        <w:rPr>
          <w:noProof/>
        </w:rPr>
        <w:fldChar w:fldCharType="begin"/>
      </w:r>
      <w:r>
        <w:rPr>
          <w:noProof/>
        </w:rPr>
        <w:instrText xml:space="preserve"> PAGEREF _Toc322942278 \h </w:instrText>
      </w:r>
      <w:r>
        <w:rPr>
          <w:noProof/>
        </w:rPr>
      </w:r>
      <w:r>
        <w:rPr>
          <w:noProof/>
        </w:rPr>
        <w:fldChar w:fldCharType="separate"/>
      </w:r>
      <w:r>
        <w:rPr>
          <w:noProof/>
        </w:rPr>
        <w:t>80</w:t>
      </w:r>
      <w:r>
        <w:rPr>
          <w:noProof/>
        </w:rPr>
        <w:fldChar w:fldCharType="end"/>
      </w:r>
    </w:p>
    <w:p w:rsidR="002559BD" w:rsidRDefault="002559BD">
      <w:pPr>
        <w:pStyle w:val="TableofFigures"/>
        <w:tabs>
          <w:tab w:val="right" w:leader="dot" w:pos="9350"/>
        </w:tabs>
        <w:rPr>
          <w:rFonts w:asciiTheme="minorHAnsi" w:eastAsiaTheme="minorEastAsia" w:hAnsiTheme="minorHAnsi" w:cstheme="minorBidi"/>
          <w:noProof/>
          <w:sz w:val="24"/>
        </w:rPr>
      </w:pPr>
      <w:r>
        <w:rPr>
          <w:noProof/>
        </w:rPr>
        <w:t>Figure 49:  Mode and Transition Diagram from SP0039-607.</w:t>
      </w:r>
      <w:r>
        <w:rPr>
          <w:noProof/>
        </w:rPr>
        <w:tab/>
      </w:r>
      <w:r>
        <w:rPr>
          <w:noProof/>
        </w:rPr>
        <w:fldChar w:fldCharType="begin"/>
      </w:r>
      <w:r>
        <w:rPr>
          <w:noProof/>
        </w:rPr>
        <w:instrText xml:space="preserve"> PAGEREF _Toc322942279 \h </w:instrText>
      </w:r>
      <w:r>
        <w:rPr>
          <w:noProof/>
        </w:rPr>
      </w:r>
      <w:r>
        <w:rPr>
          <w:noProof/>
        </w:rPr>
        <w:fldChar w:fldCharType="separate"/>
      </w:r>
      <w:r>
        <w:rPr>
          <w:noProof/>
        </w:rPr>
        <w:t>83</w:t>
      </w:r>
      <w:r>
        <w:rPr>
          <w:noProof/>
        </w:rPr>
        <w:fldChar w:fldCharType="end"/>
      </w:r>
    </w:p>
    <w:p w:rsidR="005B7E9A" w:rsidRDefault="002559BD" w:rsidP="00427865">
      <w:pPr>
        <w:jc w:val="center"/>
        <w:outlineLvl w:val="0"/>
        <w:rPr>
          <w:rFonts w:ascii="Times" w:hAnsi="Times"/>
        </w:rPr>
      </w:pPr>
      <w:r>
        <w:rPr>
          <w:rFonts w:ascii="Times" w:hAnsi="Times"/>
        </w:rPr>
        <w:fldChar w:fldCharType="end"/>
      </w:r>
    </w:p>
    <w:p w:rsidR="005B7E9A" w:rsidRDefault="005B7E9A">
      <w:pPr>
        <w:spacing w:after="0"/>
        <w:rPr>
          <w:rFonts w:ascii="Times" w:hAnsi="Times"/>
        </w:rPr>
      </w:pPr>
      <w:r>
        <w:rPr>
          <w:rFonts w:ascii="Times" w:hAnsi="Times"/>
        </w:rPr>
        <w:br w:type="page"/>
      </w:r>
    </w:p>
    <w:p w:rsidR="005B7E9A" w:rsidRDefault="005B7E9A" w:rsidP="00427865">
      <w:pPr>
        <w:jc w:val="center"/>
        <w:outlineLvl w:val="0"/>
        <w:rPr>
          <w:rFonts w:ascii="Times" w:hAnsi="Times"/>
        </w:rPr>
      </w:pPr>
    </w:p>
    <w:p w:rsidR="002559BD" w:rsidRDefault="00404448" w:rsidP="002559BD">
      <w:pPr>
        <w:jc w:val="center"/>
        <w:outlineLvl w:val="0"/>
        <w:rPr>
          <w:noProof/>
        </w:rPr>
      </w:pPr>
      <w:r w:rsidRPr="005B7E9A">
        <w:rPr>
          <w:rFonts w:ascii="Times" w:hAnsi="Times"/>
          <w:sz w:val="24"/>
        </w:rPr>
        <w:t>List of Tables</w:t>
      </w:r>
      <w:r w:rsidR="002559BD">
        <w:rPr>
          <w:rFonts w:ascii="Times" w:hAnsi="Times"/>
          <w:sz w:val="24"/>
        </w:rPr>
        <w:fldChar w:fldCharType="begin"/>
      </w:r>
      <w:r w:rsidR="002559BD">
        <w:rPr>
          <w:rFonts w:ascii="Times" w:hAnsi="Times"/>
          <w:sz w:val="24"/>
        </w:rPr>
        <w:instrText xml:space="preserve"> TOC \c "Table" </w:instrText>
      </w:r>
      <w:r w:rsidR="002559BD">
        <w:rPr>
          <w:rFonts w:ascii="Times" w:hAnsi="Times"/>
          <w:sz w:val="24"/>
        </w:rPr>
        <w:fldChar w:fldCharType="separate"/>
      </w:r>
    </w:p>
    <w:p w:rsidR="002559BD" w:rsidRDefault="002559BD">
      <w:pPr>
        <w:pStyle w:val="TableofFigures"/>
        <w:tabs>
          <w:tab w:val="right" w:leader="dot" w:pos="9350"/>
        </w:tabs>
        <w:rPr>
          <w:rFonts w:asciiTheme="minorHAnsi" w:eastAsiaTheme="minorEastAsia" w:hAnsiTheme="minorHAnsi" w:cstheme="minorBidi"/>
          <w:noProof/>
          <w:sz w:val="24"/>
        </w:rPr>
      </w:pPr>
      <w:r>
        <w:rPr>
          <w:noProof/>
        </w:rPr>
        <w:t>Table 1:  List of Commissioning Activities</w:t>
      </w:r>
      <w:r>
        <w:rPr>
          <w:noProof/>
        </w:rPr>
        <w:tab/>
      </w:r>
      <w:r>
        <w:rPr>
          <w:noProof/>
        </w:rPr>
        <w:fldChar w:fldCharType="begin"/>
      </w:r>
      <w:r>
        <w:rPr>
          <w:noProof/>
        </w:rPr>
        <w:instrText xml:space="preserve"> PAGEREF _Toc322942280 \h </w:instrText>
      </w:r>
      <w:r>
        <w:rPr>
          <w:noProof/>
        </w:rPr>
      </w:r>
      <w:r>
        <w:rPr>
          <w:noProof/>
        </w:rPr>
        <w:fldChar w:fldCharType="separate"/>
      </w:r>
      <w:r>
        <w:rPr>
          <w:noProof/>
        </w:rPr>
        <w:t>16</w:t>
      </w:r>
      <w:r>
        <w:rPr>
          <w:noProof/>
        </w:rPr>
        <w:fldChar w:fldCharType="end"/>
      </w:r>
    </w:p>
    <w:p w:rsidR="002559BD" w:rsidRDefault="002559BD">
      <w:pPr>
        <w:pStyle w:val="TableofFigures"/>
        <w:tabs>
          <w:tab w:val="right" w:leader="dot" w:pos="9350"/>
        </w:tabs>
        <w:rPr>
          <w:rFonts w:asciiTheme="minorHAnsi" w:eastAsiaTheme="minorEastAsia" w:hAnsiTheme="minorHAnsi" w:cstheme="minorBidi"/>
          <w:noProof/>
          <w:sz w:val="24"/>
        </w:rPr>
      </w:pPr>
      <w:r>
        <w:rPr>
          <w:noProof/>
        </w:rPr>
        <w:t>Table 2:  Ground Tests Supplying Calibration and Characterization Data for Use on Science Data</w:t>
      </w:r>
      <w:r>
        <w:rPr>
          <w:noProof/>
        </w:rPr>
        <w:tab/>
      </w:r>
      <w:r>
        <w:rPr>
          <w:noProof/>
        </w:rPr>
        <w:fldChar w:fldCharType="begin"/>
      </w:r>
      <w:r>
        <w:rPr>
          <w:noProof/>
        </w:rPr>
        <w:instrText xml:space="preserve"> PAGEREF _Toc322942281 \h </w:instrText>
      </w:r>
      <w:r>
        <w:rPr>
          <w:noProof/>
        </w:rPr>
      </w:r>
      <w:r>
        <w:rPr>
          <w:noProof/>
        </w:rPr>
        <w:fldChar w:fldCharType="separate"/>
      </w:r>
      <w:r>
        <w:rPr>
          <w:noProof/>
        </w:rPr>
        <w:t>28</w:t>
      </w:r>
      <w:r>
        <w:rPr>
          <w:noProof/>
        </w:rPr>
        <w:fldChar w:fldCharType="end"/>
      </w:r>
    </w:p>
    <w:p w:rsidR="002559BD" w:rsidRDefault="002559BD">
      <w:pPr>
        <w:pStyle w:val="TableofFigures"/>
        <w:tabs>
          <w:tab w:val="right" w:leader="dot" w:pos="9350"/>
        </w:tabs>
        <w:rPr>
          <w:rFonts w:asciiTheme="minorHAnsi" w:eastAsiaTheme="minorEastAsia" w:hAnsiTheme="minorHAnsi" w:cstheme="minorBidi"/>
          <w:noProof/>
          <w:sz w:val="24"/>
        </w:rPr>
      </w:pPr>
      <w:r>
        <w:rPr>
          <w:noProof/>
        </w:rPr>
        <w:t xml:space="preserve">Table 3:  Predicted Optical Performance, from </w:t>
      </w:r>
      <w:r w:rsidRPr="00C0175A">
        <w:rPr>
          <w:i/>
          <w:noProof/>
        </w:rPr>
        <w:t>KEPLER</w:t>
      </w:r>
      <w:r>
        <w:rPr>
          <w:noProof/>
        </w:rPr>
        <w:t>.DFM.PHT.003E.</w:t>
      </w:r>
      <w:r>
        <w:rPr>
          <w:noProof/>
        </w:rPr>
        <w:tab/>
      </w:r>
      <w:r>
        <w:rPr>
          <w:noProof/>
        </w:rPr>
        <w:fldChar w:fldCharType="begin"/>
      </w:r>
      <w:r>
        <w:rPr>
          <w:noProof/>
        </w:rPr>
        <w:instrText xml:space="preserve"> PAGEREF _Toc322942282 \h </w:instrText>
      </w:r>
      <w:r>
        <w:rPr>
          <w:noProof/>
        </w:rPr>
      </w:r>
      <w:r>
        <w:rPr>
          <w:noProof/>
        </w:rPr>
        <w:fldChar w:fldCharType="separate"/>
      </w:r>
      <w:r>
        <w:rPr>
          <w:noProof/>
        </w:rPr>
        <w:t>29</w:t>
      </w:r>
      <w:r>
        <w:rPr>
          <w:noProof/>
        </w:rPr>
        <w:fldChar w:fldCharType="end"/>
      </w:r>
    </w:p>
    <w:p w:rsidR="002559BD" w:rsidRDefault="002559BD">
      <w:pPr>
        <w:pStyle w:val="TableofFigures"/>
        <w:tabs>
          <w:tab w:val="right" w:leader="dot" w:pos="9350"/>
        </w:tabs>
        <w:rPr>
          <w:rFonts w:asciiTheme="minorHAnsi" w:eastAsiaTheme="minorEastAsia" w:hAnsiTheme="minorHAnsi" w:cstheme="minorBidi"/>
          <w:noProof/>
          <w:sz w:val="24"/>
        </w:rPr>
      </w:pPr>
      <w:r>
        <w:rPr>
          <w:noProof/>
        </w:rPr>
        <w:t xml:space="preserve">Table 4:  Parameters of </w:t>
      </w:r>
      <w:r w:rsidRPr="00C0175A">
        <w:rPr>
          <w:i/>
          <w:noProof/>
        </w:rPr>
        <w:t>Kepler</w:t>
      </w:r>
      <w:r>
        <w:rPr>
          <w:noProof/>
        </w:rPr>
        <w:t xml:space="preserve"> Schmidt Corrector.</w:t>
      </w:r>
      <w:r>
        <w:rPr>
          <w:noProof/>
        </w:rPr>
        <w:tab/>
      </w:r>
      <w:r>
        <w:rPr>
          <w:noProof/>
        </w:rPr>
        <w:fldChar w:fldCharType="begin"/>
      </w:r>
      <w:r>
        <w:rPr>
          <w:noProof/>
        </w:rPr>
        <w:instrText xml:space="preserve"> PAGEREF _Toc322942283 \h </w:instrText>
      </w:r>
      <w:r>
        <w:rPr>
          <w:noProof/>
        </w:rPr>
      </w:r>
      <w:r>
        <w:rPr>
          <w:noProof/>
        </w:rPr>
        <w:fldChar w:fldCharType="separate"/>
      </w:r>
      <w:r>
        <w:rPr>
          <w:noProof/>
        </w:rPr>
        <w:t>31</w:t>
      </w:r>
      <w:r>
        <w:rPr>
          <w:noProof/>
        </w:rPr>
        <w:fldChar w:fldCharType="end"/>
      </w:r>
    </w:p>
    <w:p w:rsidR="002559BD" w:rsidRDefault="002559BD">
      <w:pPr>
        <w:pStyle w:val="TableofFigures"/>
        <w:tabs>
          <w:tab w:val="right" w:leader="dot" w:pos="9350"/>
        </w:tabs>
        <w:rPr>
          <w:rFonts w:asciiTheme="minorHAnsi" w:eastAsiaTheme="minorEastAsia" w:hAnsiTheme="minorHAnsi" w:cstheme="minorBidi"/>
          <w:noProof/>
          <w:sz w:val="24"/>
        </w:rPr>
      </w:pPr>
      <w:r>
        <w:rPr>
          <w:noProof/>
        </w:rPr>
        <w:t xml:space="preserve">Table 5:  Total Spectral Response of </w:t>
      </w:r>
      <w:r w:rsidRPr="00C0175A">
        <w:rPr>
          <w:i/>
          <w:noProof/>
        </w:rPr>
        <w:t>Kepler</w:t>
      </w:r>
      <w:r>
        <w:rPr>
          <w:noProof/>
        </w:rPr>
        <w:t xml:space="preserve">, including CCD response for channel 11.2.  The column labeled ‘Absolute’ is to be multiplied by the obscuration and vignetting factors (§3.6) at the target location to obtain the effective area of </w:t>
      </w:r>
      <w:r w:rsidRPr="00C0175A">
        <w:rPr>
          <w:i/>
          <w:noProof/>
        </w:rPr>
        <w:t>Kepler</w:t>
      </w:r>
      <w:r>
        <w:rPr>
          <w:noProof/>
        </w:rPr>
        <w:t xml:space="preserve"> at that wavelength.  The column labeled ‘Relative’ is normalized to 1.00 at the wavelength of maximum spectral response, 575 nm.  Results for all channels sampled every 1 nm are given by the spectral response model delivered to MAST.</w:t>
      </w:r>
      <w:r>
        <w:rPr>
          <w:noProof/>
        </w:rPr>
        <w:tab/>
      </w:r>
      <w:r>
        <w:rPr>
          <w:noProof/>
        </w:rPr>
        <w:fldChar w:fldCharType="begin"/>
      </w:r>
      <w:r>
        <w:rPr>
          <w:noProof/>
        </w:rPr>
        <w:instrText xml:space="preserve"> PAGEREF _Toc322942284 \h </w:instrText>
      </w:r>
      <w:r>
        <w:rPr>
          <w:noProof/>
        </w:rPr>
      </w:r>
      <w:r>
        <w:rPr>
          <w:noProof/>
        </w:rPr>
        <w:fldChar w:fldCharType="separate"/>
      </w:r>
      <w:r>
        <w:rPr>
          <w:noProof/>
        </w:rPr>
        <w:t>34</w:t>
      </w:r>
      <w:r>
        <w:rPr>
          <w:noProof/>
        </w:rPr>
        <w:fldChar w:fldCharType="end"/>
      </w:r>
    </w:p>
    <w:p w:rsidR="002559BD" w:rsidRDefault="002559BD">
      <w:pPr>
        <w:pStyle w:val="TableofFigures"/>
        <w:tabs>
          <w:tab w:val="right" w:leader="dot" w:pos="9350"/>
        </w:tabs>
        <w:rPr>
          <w:rFonts w:asciiTheme="minorHAnsi" w:eastAsiaTheme="minorEastAsia" w:hAnsiTheme="minorHAnsi" w:cstheme="minorBidi"/>
          <w:noProof/>
          <w:sz w:val="24"/>
        </w:rPr>
      </w:pPr>
      <w:r>
        <w:rPr>
          <w:noProof/>
        </w:rPr>
        <w:t xml:space="preserve">Table 6:  Geometric Vignetting, as defined by Eq.3.6-1.  Azimuthal variations are negligible.   This table is a fit to the results shown in Table 3 of </w:t>
      </w:r>
      <w:r w:rsidRPr="00C0175A">
        <w:rPr>
          <w:i/>
          <w:noProof/>
        </w:rPr>
        <w:t>KEPLER</w:t>
      </w:r>
      <w:r>
        <w:rPr>
          <w:noProof/>
        </w:rPr>
        <w:t>.DFM.TEL.029B.</w:t>
      </w:r>
      <w:r>
        <w:rPr>
          <w:noProof/>
        </w:rPr>
        <w:tab/>
      </w:r>
      <w:r>
        <w:rPr>
          <w:noProof/>
        </w:rPr>
        <w:fldChar w:fldCharType="begin"/>
      </w:r>
      <w:r>
        <w:rPr>
          <w:noProof/>
        </w:rPr>
        <w:instrText xml:space="preserve"> PAGEREF _Toc322942285 \h </w:instrText>
      </w:r>
      <w:r>
        <w:rPr>
          <w:noProof/>
        </w:rPr>
      </w:r>
      <w:r>
        <w:rPr>
          <w:noProof/>
        </w:rPr>
        <w:fldChar w:fldCharType="separate"/>
      </w:r>
      <w:r>
        <w:rPr>
          <w:noProof/>
        </w:rPr>
        <w:t>39</w:t>
      </w:r>
      <w:r>
        <w:rPr>
          <w:noProof/>
        </w:rPr>
        <w:fldChar w:fldCharType="end"/>
      </w:r>
    </w:p>
    <w:p w:rsidR="002559BD" w:rsidRDefault="002559BD">
      <w:pPr>
        <w:pStyle w:val="TableofFigures"/>
        <w:tabs>
          <w:tab w:val="right" w:leader="dot" w:pos="9350"/>
        </w:tabs>
        <w:rPr>
          <w:rFonts w:asciiTheme="minorHAnsi" w:eastAsiaTheme="minorEastAsia" w:hAnsiTheme="minorHAnsi" w:cstheme="minorBidi"/>
          <w:noProof/>
          <w:sz w:val="24"/>
        </w:rPr>
      </w:pPr>
      <w:r>
        <w:rPr>
          <w:noProof/>
        </w:rPr>
        <w:t xml:space="preserve">Table 7:  </w:t>
      </w:r>
      <w:r w:rsidRPr="00C0175A">
        <w:rPr>
          <w:i/>
          <w:noProof/>
        </w:rPr>
        <w:t>Kepler</w:t>
      </w:r>
      <w:r>
        <w:rPr>
          <w:noProof/>
        </w:rPr>
        <w:t xml:space="preserve"> CCD Properties at Science Operating Temperature.</w:t>
      </w:r>
      <w:r>
        <w:rPr>
          <w:noProof/>
        </w:rPr>
        <w:tab/>
      </w:r>
      <w:r>
        <w:rPr>
          <w:noProof/>
        </w:rPr>
        <w:fldChar w:fldCharType="begin"/>
      </w:r>
      <w:r>
        <w:rPr>
          <w:noProof/>
        </w:rPr>
        <w:instrText xml:space="preserve"> PAGEREF _Toc322942286 \h </w:instrText>
      </w:r>
      <w:r>
        <w:rPr>
          <w:noProof/>
        </w:rPr>
      </w:r>
      <w:r>
        <w:rPr>
          <w:noProof/>
        </w:rPr>
        <w:fldChar w:fldCharType="separate"/>
      </w:r>
      <w:r>
        <w:rPr>
          <w:noProof/>
        </w:rPr>
        <w:t>47</w:t>
      </w:r>
      <w:r>
        <w:rPr>
          <w:noProof/>
        </w:rPr>
        <w:fldChar w:fldCharType="end"/>
      </w:r>
    </w:p>
    <w:p w:rsidR="002559BD" w:rsidRDefault="002559BD">
      <w:pPr>
        <w:pStyle w:val="TableofFigures"/>
        <w:tabs>
          <w:tab w:val="right" w:leader="dot" w:pos="9350"/>
        </w:tabs>
        <w:rPr>
          <w:rFonts w:asciiTheme="minorHAnsi" w:eastAsiaTheme="minorEastAsia" w:hAnsiTheme="minorHAnsi" w:cstheme="minorBidi"/>
          <w:noProof/>
          <w:sz w:val="24"/>
        </w:rPr>
      </w:pPr>
      <w:r>
        <w:rPr>
          <w:noProof/>
        </w:rPr>
        <w:t xml:space="preserve">Table 8:  Module Output Row Column indexing of each pixels in the </w:t>
      </w:r>
      <w:r w:rsidRPr="00C0175A">
        <w:rPr>
          <w:i/>
          <w:noProof/>
        </w:rPr>
        <w:t>Kepler</w:t>
      </w:r>
      <w:r>
        <w:rPr>
          <w:noProof/>
        </w:rPr>
        <w:t xml:space="preserve"> focal plane.</w:t>
      </w:r>
      <w:r>
        <w:rPr>
          <w:noProof/>
        </w:rPr>
        <w:tab/>
      </w:r>
      <w:r>
        <w:rPr>
          <w:noProof/>
        </w:rPr>
        <w:fldChar w:fldCharType="begin"/>
      </w:r>
      <w:r>
        <w:rPr>
          <w:noProof/>
        </w:rPr>
        <w:instrText xml:space="preserve"> PAGEREF _Toc322942287 \h </w:instrText>
      </w:r>
      <w:r>
        <w:rPr>
          <w:noProof/>
        </w:rPr>
      </w:r>
      <w:r>
        <w:rPr>
          <w:noProof/>
        </w:rPr>
        <w:fldChar w:fldCharType="separate"/>
      </w:r>
      <w:r>
        <w:rPr>
          <w:noProof/>
        </w:rPr>
        <w:t>48</w:t>
      </w:r>
      <w:r>
        <w:rPr>
          <w:noProof/>
        </w:rPr>
        <w:fldChar w:fldCharType="end"/>
      </w:r>
    </w:p>
    <w:p w:rsidR="002559BD" w:rsidRDefault="002559BD">
      <w:pPr>
        <w:pStyle w:val="TableofFigures"/>
        <w:tabs>
          <w:tab w:val="right" w:leader="dot" w:pos="9350"/>
        </w:tabs>
        <w:rPr>
          <w:rFonts w:asciiTheme="minorHAnsi" w:eastAsiaTheme="minorEastAsia" w:hAnsiTheme="minorHAnsi" w:cstheme="minorBidi"/>
          <w:noProof/>
          <w:sz w:val="24"/>
        </w:rPr>
      </w:pPr>
      <w:r>
        <w:rPr>
          <w:noProof/>
        </w:rPr>
        <w:t>Table 9: PRNU - 1</w:t>
      </w:r>
      <w:r w:rsidRPr="00C0175A">
        <w:rPr>
          <w:rFonts w:ascii="Symbol" w:hAnsi="Symbol"/>
          <w:noProof/>
        </w:rPr>
        <w:t></w:t>
      </w:r>
      <w:r>
        <w:rPr>
          <w:noProof/>
        </w:rPr>
        <w:t xml:space="preserve"> standard deviation in percent with outliers clipped at ±10%. ECA number is indicated by color: </w:t>
      </w:r>
      <w:r w:rsidRPr="00C0175A">
        <w:rPr>
          <w:noProof/>
          <w:color w:val="FF99CC"/>
          <w:highlight w:val="black"/>
        </w:rPr>
        <w:t>ECA-1</w:t>
      </w:r>
      <w:r w:rsidRPr="00C0175A">
        <w:rPr>
          <w:noProof/>
          <w:highlight w:val="black"/>
        </w:rPr>
        <w:t xml:space="preserve">, </w:t>
      </w:r>
      <w:r w:rsidRPr="00C0175A">
        <w:rPr>
          <w:noProof/>
          <w:color w:val="CCFFCC"/>
          <w:highlight w:val="black"/>
        </w:rPr>
        <w:t>ECA-2</w:t>
      </w:r>
      <w:r w:rsidRPr="00C0175A">
        <w:rPr>
          <w:noProof/>
          <w:highlight w:val="black"/>
        </w:rPr>
        <w:t xml:space="preserve">, </w:t>
      </w:r>
      <w:r w:rsidRPr="00C0175A">
        <w:rPr>
          <w:noProof/>
          <w:color w:val="CC99FF"/>
          <w:highlight w:val="black"/>
        </w:rPr>
        <w:t>ECA-3</w:t>
      </w:r>
      <w:r w:rsidRPr="00C0175A">
        <w:rPr>
          <w:noProof/>
          <w:highlight w:val="black"/>
        </w:rPr>
        <w:t xml:space="preserve">, </w:t>
      </w:r>
      <w:r w:rsidRPr="00C0175A">
        <w:rPr>
          <w:noProof/>
          <w:color w:val="99CCFF"/>
          <w:highlight w:val="black"/>
        </w:rPr>
        <w:t>ECA-4</w:t>
      </w:r>
      <w:r w:rsidRPr="00C0175A">
        <w:rPr>
          <w:noProof/>
          <w:highlight w:val="black"/>
        </w:rPr>
        <w:t xml:space="preserve">, </w:t>
      </w:r>
      <w:r w:rsidRPr="00C0175A">
        <w:rPr>
          <w:noProof/>
          <w:color w:val="FFFF99"/>
          <w:highlight w:val="black"/>
        </w:rPr>
        <w:t>ECA-5</w:t>
      </w:r>
      <w:r>
        <w:rPr>
          <w:noProof/>
        </w:rPr>
        <w:t>.  From [Caldwell, 2007].</w:t>
      </w:r>
      <w:r>
        <w:rPr>
          <w:noProof/>
        </w:rPr>
        <w:tab/>
      </w:r>
      <w:r>
        <w:rPr>
          <w:noProof/>
        </w:rPr>
        <w:fldChar w:fldCharType="begin"/>
      </w:r>
      <w:r>
        <w:rPr>
          <w:noProof/>
        </w:rPr>
        <w:instrText xml:space="preserve"> PAGEREF _Toc322942288 \h </w:instrText>
      </w:r>
      <w:r>
        <w:rPr>
          <w:noProof/>
        </w:rPr>
      </w:r>
      <w:r>
        <w:rPr>
          <w:noProof/>
        </w:rPr>
        <w:fldChar w:fldCharType="separate"/>
      </w:r>
      <w:r>
        <w:rPr>
          <w:noProof/>
        </w:rPr>
        <w:t>55</w:t>
      </w:r>
      <w:r>
        <w:rPr>
          <w:noProof/>
        </w:rPr>
        <w:fldChar w:fldCharType="end"/>
      </w:r>
    </w:p>
    <w:p w:rsidR="002559BD" w:rsidRDefault="002559BD">
      <w:pPr>
        <w:pStyle w:val="TableofFigures"/>
        <w:tabs>
          <w:tab w:val="right" w:leader="dot" w:pos="9350"/>
        </w:tabs>
        <w:rPr>
          <w:rFonts w:asciiTheme="minorHAnsi" w:eastAsiaTheme="minorEastAsia" w:hAnsiTheme="minorHAnsi" w:cstheme="minorBidi"/>
          <w:noProof/>
          <w:sz w:val="24"/>
        </w:rPr>
      </w:pPr>
      <w:r>
        <w:rPr>
          <w:noProof/>
        </w:rPr>
        <w:t>Table 10:  Parameters for the LDE configuration command FDMCFGLDE.</w:t>
      </w:r>
      <w:r>
        <w:rPr>
          <w:noProof/>
        </w:rPr>
        <w:tab/>
      </w:r>
      <w:r>
        <w:rPr>
          <w:noProof/>
        </w:rPr>
        <w:fldChar w:fldCharType="begin"/>
      </w:r>
      <w:r>
        <w:rPr>
          <w:noProof/>
        </w:rPr>
        <w:instrText xml:space="preserve"> PAGEREF _Toc322942289 \h </w:instrText>
      </w:r>
      <w:r>
        <w:rPr>
          <w:noProof/>
        </w:rPr>
      </w:r>
      <w:r>
        <w:rPr>
          <w:noProof/>
        </w:rPr>
        <w:fldChar w:fldCharType="separate"/>
      </w:r>
      <w:r>
        <w:rPr>
          <w:noProof/>
        </w:rPr>
        <w:t>83</w:t>
      </w:r>
      <w:r>
        <w:rPr>
          <w:noProof/>
        </w:rPr>
        <w:fldChar w:fldCharType="end"/>
      </w:r>
    </w:p>
    <w:p w:rsidR="002559BD" w:rsidRDefault="002559BD">
      <w:pPr>
        <w:pStyle w:val="TableofFigures"/>
        <w:tabs>
          <w:tab w:val="right" w:leader="dot" w:pos="9350"/>
        </w:tabs>
        <w:rPr>
          <w:rFonts w:asciiTheme="minorHAnsi" w:eastAsiaTheme="minorEastAsia" w:hAnsiTheme="minorHAnsi" w:cstheme="minorBidi"/>
          <w:noProof/>
          <w:sz w:val="24"/>
        </w:rPr>
      </w:pPr>
      <w:r>
        <w:rPr>
          <w:noProof/>
        </w:rPr>
        <w:t xml:space="preserve">Table 11:  Photometric precision estimates for stars fainter than 12th magnitude, for 6.5 hr of LCs with </w:t>
      </w:r>
      <w:r w:rsidRPr="00C0175A">
        <w:rPr>
          <w:rFonts w:ascii="Times New Roman" w:hAnsi="Times New Roman"/>
          <w:i/>
          <w:noProof/>
        </w:rPr>
        <w:t>t</w:t>
      </w:r>
      <w:r w:rsidRPr="00C0175A">
        <w:rPr>
          <w:rFonts w:ascii="Times New Roman" w:hAnsi="Times New Roman"/>
          <w:i/>
          <w:noProof/>
          <w:vertAlign w:val="subscript"/>
        </w:rPr>
        <w:t>exp</w:t>
      </w:r>
      <w:r>
        <w:rPr>
          <w:noProof/>
        </w:rPr>
        <w:t xml:space="preserve"> = 6.0 s/frame.  P</w:t>
      </w:r>
      <w:r w:rsidRPr="00C0175A">
        <w:rPr>
          <w:noProof/>
          <w:vertAlign w:val="subscript"/>
        </w:rPr>
        <w:t>0</w:t>
      </w:r>
      <w:r>
        <w:rPr>
          <w:noProof/>
        </w:rPr>
        <w:t xml:space="preserve"> does not include stellar variability, while P does.  Stellar variability is assumed to be a constant 10 ppm for all spectral types in this Table, as per </w:t>
      </w:r>
      <w:r w:rsidRPr="00C0175A">
        <w:rPr>
          <w:i/>
          <w:noProof/>
        </w:rPr>
        <w:t>Kepler</w:t>
      </w:r>
      <w:r>
        <w:rPr>
          <w:noProof/>
        </w:rPr>
        <w:t xml:space="preserve">’s design.  The accurate calculation of P for any particular star will depend on its </w:t>
      </w:r>
      <w:r w:rsidRPr="00C0175A">
        <w:rPr>
          <w:i/>
          <w:noProof/>
        </w:rPr>
        <w:t>Kepler</w:t>
      </w:r>
      <w:r>
        <w:rPr>
          <w:noProof/>
        </w:rPr>
        <w:t xml:space="preserve"> magnitude, the power spectrum of its variability, and the transit duration over which LCs are averaged, and is outside the scope of this simple model.</w:t>
      </w:r>
      <w:r>
        <w:rPr>
          <w:noProof/>
        </w:rPr>
        <w:tab/>
      </w:r>
      <w:r>
        <w:rPr>
          <w:noProof/>
        </w:rPr>
        <w:fldChar w:fldCharType="begin"/>
      </w:r>
      <w:r>
        <w:rPr>
          <w:noProof/>
        </w:rPr>
        <w:instrText xml:space="preserve"> PAGEREF _Toc322942290 \h </w:instrText>
      </w:r>
      <w:r>
        <w:rPr>
          <w:noProof/>
        </w:rPr>
      </w:r>
      <w:r>
        <w:rPr>
          <w:noProof/>
        </w:rPr>
        <w:fldChar w:fldCharType="separate"/>
      </w:r>
      <w:r>
        <w:rPr>
          <w:noProof/>
        </w:rPr>
        <w:t>87</w:t>
      </w:r>
      <w:r>
        <w:rPr>
          <w:noProof/>
        </w:rPr>
        <w:fldChar w:fldCharType="end"/>
      </w:r>
    </w:p>
    <w:p w:rsidR="002559BD" w:rsidRDefault="002559BD">
      <w:pPr>
        <w:pStyle w:val="TableofFigures"/>
        <w:tabs>
          <w:tab w:val="right" w:leader="dot" w:pos="9350"/>
        </w:tabs>
        <w:rPr>
          <w:rFonts w:asciiTheme="minorHAnsi" w:eastAsiaTheme="minorEastAsia" w:hAnsiTheme="minorHAnsi" w:cstheme="minorBidi"/>
          <w:noProof/>
          <w:sz w:val="24"/>
        </w:rPr>
      </w:pPr>
      <w:r>
        <w:rPr>
          <w:noProof/>
        </w:rPr>
        <w:t>Table 12:  Excerpt of MORC to RA-Dec conversion table included in Supplement.  Units are decimal degrees.  The zero-based [row column] locations are the channel corners (with a 5 pixel margin) and center.  The Supplement shows all channels and Seasons.</w:t>
      </w:r>
      <w:r>
        <w:rPr>
          <w:noProof/>
        </w:rPr>
        <w:tab/>
      </w:r>
      <w:r>
        <w:rPr>
          <w:noProof/>
        </w:rPr>
        <w:fldChar w:fldCharType="begin"/>
      </w:r>
      <w:r>
        <w:rPr>
          <w:noProof/>
        </w:rPr>
        <w:instrText xml:space="preserve"> PAGEREF _Toc322942291 \h </w:instrText>
      </w:r>
      <w:r>
        <w:rPr>
          <w:noProof/>
        </w:rPr>
      </w:r>
      <w:r>
        <w:rPr>
          <w:noProof/>
        </w:rPr>
        <w:fldChar w:fldCharType="separate"/>
      </w:r>
      <w:r>
        <w:rPr>
          <w:noProof/>
        </w:rPr>
        <w:t>88</w:t>
      </w:r>
      <w:r>
        <w:rPr>
          <w:noProof/>
        </w:rPr>
        <w:fldChar w:fldCharType="end"/>
      </w:r>
    </w:p>
    <w:p w:rsidR="002559BD" w:rsidRDefault="002559BD">
      <w:pPr>
        <w:pStyle w:val="TableofFigures"/>
        <w:tabs>
          <w:tab w:val="right" w:leader="dot" w:pos="9350"/>
        </w:tabs>
        <w:rPr>
          <w:rFonts w:asciiTheme="minorHAnsi" w:eastAsiaTheme="minorEastAsia" w:hAnsiTheme="minorHAnsi" w:cstheme="minorBidi"/>
          <w:noProof/>
          <w:sz w:val="24"/>
        </w:rPr>
      </w:pPr>
      <w:r>
        <w:rPr>
          <w:noProof/>
        </w:rPr>
        <w:t>Table 13:  Detector Properties.  The ECA is the board pair driving the channel, and acquiring data from it.  The combination of ECA, ECA input #, and Module output # specifies which amplifier chain is used for each channel. Yellow indicates out-of-spec value or peculiar measurements.  Red indicates high Moiré amplitude which may compromise time series interpretation.</w:t>
      </w:r>
      <w:r>
        <w:rPr>
          <w:noProof/>
        </w:rPr>
        <w:tab/>
      </w:r>
      <w:r>
        <w:rPr>
          <w:noProof/>
        </w:rPr>
        <w:fldChar w:fldCharType="begin"/>
      </w:r>
      <w:r>
        <w:rPr>
          <w:noProof/>
        </w:rPr>
        <w:instrText xml:space="preserve"> PAGEREF _Toc322942292 \h </w:instrText>
      </w:r>
      <w:r>
        <w:rPr>
          <w:noProof/>
        </w:rPr>
      </w:r>
      <w:r>
        <w:rPr>
          <w:noProof/>
        </w:rPr>
        <w:fldChar w:fldCharType="separate"/>
      </w:r>
      <w:r>
        <w:rPr>
          <w:noProof/>
        </w:rPr>
        <w:t>88</w:t>
      </w:r>
      <w:r>
        <w:rPr>
          <w:noProof/>
        </w:rPr>
        <w:fldChar w:fldCharType="end"/>
      </w:r>
    </w:p>
    <w:p w:rsidR="002559BD" w:rsidRDefault="002559BD">
      <w:pPr>
        <w:pStyle w:val="TableofFigures"/>
        <w:tabs>
          <w:tab w:val="right" w:leader="dot" w:pos="9350"/>
        </w:tabs>
        <w:rPr>
          <w:rFonts w:asciiTheme="minorHAnsi" w:eastAsiaTheme="minorEastAsia" w:hAnsiTheme="minorHAnsi" w:cstheme="minorBidi"/>
          <w:noProof/>
          <w:sz w:val="24"/>
        </w:rPr>
      </w:pPr>
      <w:r>
        <w:rPr>
          <w:noProof/>
        </w:rPr>
        <w:t>Table 14:  Optical Properties of Each Channel.  EE95 is the 95% encircled energy diameter in pixels, BPFF (Brightest pix Flux Fraction) is the fraction of point source flux contained in the brightest pixels of the PRF, 'Rotation' indicates the orientation.  See text for further explanation.  The PRFs on which this table is based have been delivered to MAST (KAM §2.3.5.17).</w:t>
      </w:r>
      <w:r>
        <w:rPr>
          <w:noProof/>
        </w:rPr>
        <w:tab/>
      </w:r>
      <w:r>
        <w:rPr>
          <w:noProof/>
        </w:rPr>
        <w:fldChar w:fldCharType="begin"/>
      </w:r>
      <w:r>
        <w:rPr>
          <w:noProof/>
        </w:rPr>
        <w:instrText xml:space="preserve"> PAGEREF _Toc322942293 \h </w:instrText>
      </w:r>
      <w:r>
        <w:rPr>
          <w:noProof/>
        </w:rPr>
      </w:r>
      <w:r>
        <w:rPr>
          <w:noProof/>
        </w:rPr>
        <w:fldChar w:fldCharType="separate"/>
      </w:r>
      <w:r>
        <w:rPr>
          <w:noProof/>
        </w:rPr>
        <w:t>91</w:t>
      </w:r>
      <w:r>
        <w:rPr>
          <w:noProof/>
        </w:rPr>
        <w:fldChar w:fldCharType="end"/>
      </w:r>
    </w:p>
    <w:p w:rsidR="00404448" w:rsidRDefault="002559BD" w:rsidP="002559BD">
      <w:pPr>
        <w:jc w:val="center"/>
        <w:outlineLvl w:val="0"/>
        <w:rPr>
          <w:rFonts w:ascii="Times" w:hAnsi="Times"/>
        </w:rPr>
      </w:pPr>
      <w:r>
        <w:rPr>
          <w:rFonts w:ascii="Times" w:hAnsi="Times"/>
          <w:sz w:val="24"/>
        </w:rPr>
        <w:fldChar w:fldCharType="end"/>
      </w:r>
    </w:p>
    <w:p w:rsidR="00404448" w:rsidRDefault="00141BDF" w:rsidP="00404448">
      <w:pPr>
        <w:pStyle w:val="Heading1"/>
        <w:rPr>
          <w:snapToGrid w:val="0"/>
        </w:rPr>
      </w:pPr>
      <w:bookmarkStart w:id="0" w:name="_Toc322942126"/>
      <w:r>
        <w:rPr>
          <w:snapToGrid w:val="0"/>
        </w:rPr>
        <w:t>Introduction</w:t>
      </w:r>
      <w:r w:rsidR="00F47DC3">
        <w:rPr>
          <w:snapToGrid w:val="0"/>
        </w:rPr>
        <w:t xml:space="preserve"> to the </w:t>
      </w:r>
      <w:r w:rsidR="00373929">
        <w:rPr>
          <w:snapToGrid w:val="0"/>
        </w:rPr>
        <w:t xml:space="preserve">Instrument </w:t>
      </w:r>
      <w:r w:rsidR="00F47DC3">
        <w:rPr>
          <w:snapToGrid w:val="0"/>
        </w:rPr>
        <w:t>Handbook</w:t>
      </w:r>
      <w:bookmarkEnd w:id="0"/>
    </w:p>
    <w:p w:rsidR="00404448" w:rsidRPr="00394F88" w:rsidRDefault="00812F02" w:rsidP="00404448">
      <w:pPr>
        <w:pStyle w:val="Heading2"/>
        <w:rPr>
          <w:snapToGrid w:val="0"/>
          <w:sz w:val="22"/>
        </w:rPr>
      </w:pPr>
      <w:bookmarkStart w:id="1" w:name="_Toc322942127"/>
      <w:r w:rsidRPr="00394F88">
        <w:rPr>
          <w:snapToGrid w:val="0"/>
          <w:sz w:val="22"/>
        </w:rPr>
        <w:t xml:space="preserve">Scope </w:t>
      </w:r>
      <w:r w:rsidR="00D53C62" w:rsidRPr="00394F88">
        <w:rPr>
          <w:snapToGrid w:val="0"/>
          <w:sz w:val="22"/>
        </w:rPr>
        <w:t>and Companion Documents</w:t>
      </w:r>
      <w:bookmarkEnd w:id="1"/>
    </w:p>
    <w:p w:rsidR="00D53C62" w:rsidRDefault="00404448" w:rsidP="00404448">
      <w:r>
        <w:t xml:space="preserve">This document, the </w:t>
      </w:r>
      <w:r w:rsidR="004A3FBE" w:rsidRPr="004A3FBE">
        <w:rPr>
          <w:i/>
        </w:rPr>
        <w:t>Kepler</w:t>
      </w:r>
      <w:r>
        <w:t xml:space="preserve"> Instrument Handbook (KIH), is for </w:t>
      </w:r>
      <w:r w:rsidR="004A3FBE" w:rsidRPr="004A3FBE">
        <w:rPr>
          <w:i/>
        </w:rPr>
        <w:t>Kepler</w:t>
      </w:r>
      <w:r>
        <w:t xml:space="preserve"> </w:t>
      </w:r>
      <w:r w:rsidR="000A1017">
        <w:t xml:space="preserve">and </w:t>
      </w:r>
      <w:r w:rsidR="000A1017" w:rsidRPr="000A1017">
        <w:rPr>
          <w:i/>
        </w:rPr>
        <w:t>K2</w:t>
      </w:r>
      <w:r w:rsidR="000A1017">
        <w:t xml:space="preserve"> </w:t>
      </w:r>
      <w:r>
        <w:t xml:space="preserve">observers, which includes the </w:t>
      </w:r>
      <w:r w:rsidR="004A3FBE" w:rsidRPr="004A3FBE">
        <w:rPr>
          <w:i/>
        </w:rPr>
        <w:t>Kepler</w:t>
      </w:r>
      <w:r>
        <w:t xml:space="preserve"> Science Team, Guest Observers (GOs), and astronomers doing archival research on </w:t>
      </w:r>
      <w:r w:rsidR="004A3FBE" w:rsidRPr="004A3FBE">
        <w:rPr>
          <w:i/>
        </w:rPr>
        <w:t>Kepler</w:t>
      </w:r>
      <w:r>
        <w:t xml:space="preserve"> </w:t>
      </w:r>
      <w:r w:rsidR="000A1017">
        <w:t xml:space="preserve">and </w:t>
      </w:r>
      <w:r w:rsidR="000A1017" w:rsidRPr="000A1017">
        <w:rPr>
          <w:i/>
        </w:rPr>
        <w:t>K2</w:t>
      </w:r>
      <w:r w:rsidR="000A1017">
        <w:t xml:space="preserve"> </w:t>
      </w:r>
      <w:r>
        <w:t xml:space="preserve">data in </w:t>
      </w:r>
      <w:r w:rsidR="004A7981">
        <w:t xml:space="preserve">NASA’s Astrophysics </w:t>
      </w:r>
      <w:r>
        <w:t>Data Analysis Program (</w:t>
      </w:r>
      <w:r w:rsidR="004A7981">
        <w:t>A</w:t>
      </w:r>
      <w:r>
        <w:t xml:space="preserve">DAP). The KIH provides information about the design, performance, and operational constraints of the </w:t>
      </w:r>
      <w:r w:rsidR="004A3FBE" w:rsidRPr="004A3FBE">
        <w:rPr>
          <w:i/>
        </w:rPr>
        <w:t>Kepler</w:t>
      </w:r>
      <w:r>
        <w:t xml:space="preserve"> </w:t>
      </w:r>
      <w:r w:rsidR="00C978E6">
        <w:t xml:space="preserve">flight </w:t>
      </w:r>
      <w:r>
        <w:t>hardware</w:t>
      </w:r>
      <w:r w:rsidR="00C978E6">
        <w:t xml:space="preserve"> and software</w:t>
      </w:r>
      <w:r>
        <w:t xml:space="preserve">, and an overview of the pixel data sets available.  </w:t>
      </w:r>
      <w:r w:rsidR="00C978E6">
        <w:t xml:space="preserve">The KIH is meant </w:t>
      </w:r>
      <w:r w:rsidR="00D53C62">
        <w:t>to be read with these companion documents:</w:t>
      </w:r>
    </w:p>
    <w:p w:rsidR="007B31D1" w:rsidRDefault="007B31D1" w:rsidP="007B31D1">
      <w:pPr>
        <w:pStyle w:val="ListParagraph"/>
        <w:numPr>
          <w:ilvl w:val="0"/>
          <w:numId w:val="50"/>
        </w:numPr>
      </w:pPr>
      <w:r w:rsidRPr="004A3FBE">
        <w:rPr>
          <w:i/>
        </w:rPr>
        <w:t>Kepler</w:t>
      </w:r>
      <w:r>
        <w:t xml:space="preserve"> Data Processing Handbook (</w:t>
      </w:r>
      <w:r w:rsidRPr="00C978E6">
        <w:t>KSCI-19081</w:t>
      </w:r>
      <w:r w:rsidR="00490439">
        <w:t xml:space="preserve">) or KDPH (Jenkins </w:t>
      </w:r>
      <w:r w:rsidR="00490439" w:rsidRPr="004A46AB">
        <w:rPr>
          <w:i/>
        </w:rPr>
        <w:t>et al.</w:t>
      </w:r>
      <w:r w:rsidR="00490439">
        <w:t>, 2016</w:t>
      </w:r>
      <w:r>
        <w:t>).  The KDPH describes how pixels downl</w:t>
      </w:r>
      <w:r w:rsidR="00A83968">
        <w:t>inked from the spacecraft are converted by</w:t>
      </w:r>
      <w:r>
        <w:t xml:space="preserve"> the Kepler Data Processing Pipeline (henceforth just “the pipeline”) into the data products delivered to the MAST archive</w:t>
      </w:r>
      <w:r w:rsidR="004A7981">
        <w:t>. The KDPH</w:t>
      </w:r>
      <w:r w:rsidR="000761CE">
        <w:t xml:space="preserve"> is under revision for the final </w:t>
      </w:r>
      <w:r w:rsidR="000761CE" w:rsidRPr="000761CE">
        <w:rPr>
          <w:i/>
        </w:rPr>
        <w:t>Kepler</w:t>
      </w:r>
      <w:r w:rsidR="000761CE">
        <w:t xml:space="preserve"> pipeline release</w:t>
      </w:r>
      <w:r w:rsidR="00787B5A">
        <w:t xml:space="preserve"> (Jenkins et al., 2016).</w:t>
      </w:r>
    </w:p>
    <w:p w:rsidR="007B31D1" w:rsidRPr="007B31D1" w:rsidRDefault="007B31D1" w:rsidP="00C978E6">
      <w:pPr>
        <w:pStyle w:val="ListParagraph"/>
        <w:numPr>
          <w:ilvl w:val="0"/>
          <w:numId w:val="50"/>
        </w:numPr>
        <w:rPr>
          <w:i/>
        </w:rPr>
      </w:pPr>
      <w:r w:rsidRPr="007B31D1">
        <w:rPr>
          <w:i/>
        </w:rPr>
        <w:t>Kepler</w:t>
      </w:r>
      <w:r>
        <w:t xml:space="preserve"> Archive Manual (</w:t>
      </w:r>
      <w:r w:rsidRPr="00B0676C">
        <w:t>KDMC-10008</w:t>
      </w:r>
      <w:r>
        <w:t>) or KAM (Thompson</w:t>
      </w:r>
      <w:r w:rsidR="004A46AB">
        <w:t xml:space="preserve"> </w:t>
      </w:r>
      <w:r w:rsidR="004A46AB" w:rsidRPr="004A46AB">
        <w:rPr>
          <w:i/>
        </w:rPr>
        <w:t>et al.</w:t>
      </w:r>
      <w:r w:rsidR="004A46AB">
        <w:t>, 2016</w:t>
      </w:r>
      <w:r>
        <w:t>)</w:t>
      </w:r>
      <w:r w:rsidR="00753261">
        <w:t>.  The KAM</w:t>
      </w:r>
      <w:r>
        <w:t xml:space="preserve"> describes the format and content of the data products, and how to search for them.</w:t>
      </w:r>
    </w:p>
    <w:p w:rsidR="008F0971" w:rsidRDefault="00D53C62" w:rsidP="00C978E6">
      <w:pPr>
        <w:pStyle w:val="ListParagraph"/>
        <w:numPr>
          <w:ilvl w:val="0"/>
          <w:numId w:val="50"/>
        </w:numPr>
      </w:pPr>
      <w:r w:rsidRPr="007B31D1">
        <w:rPr>
          <w:i/>
        </w:rPr>
        <w:t>Keple</w:t>
      </w:r>
      <w:r w:rsidRPr="00C978E6">
        <w:rPr>
          <w:i/>
        </w:rPr>
        <w:t>r</w:t>
      </w:r>
      <w:r>
        <w:t xml:space="preserve"> Data Characteri</w:t>
      </w:r>
      <w:r w:rsidR="00C978E6">
        <w:t>stics Handbook (KSCI-19040) or</w:t>
      </w:r>
      <w:r w:rsidR="00E43087">
        <w:t xml:space="preserve"> KDCH (Christiansen et al., 2016</w:t>
      </w:r>
      <w:r w:rsidR="00C978E6">
        <w:t>)</w:t>
      </w:r>
      <w:r w:rsidR="005415C3">
        <w:t xml:space="preserve">.  The KDCH describes </w:t>
      </w:r>
      <w:r w:rsidR="00E66310">
        <w:t xml:space="preserve">recurring </w:t>
      </w:r>
      <w:r w:rsidR="005415C3">
        <w:t>non-astrophysical</w:t>
      </w:r>
      <w:r w:rsidR="00DF33AE">
        <w:t xml:space="preserve"> features of the </w:t>
      </w:r>
      <w:r w:rsidR="00DF33AE" w:rsidRPr="00DF33AE">
        <w:rPr>
          <w:i/>
        </w:rPr>
        <w:t>Kepler</w:t>
      </w:r>
      <w:r w:rsidR="00DF33AE">
        <w:t xml:space="preserve"> data due to instrument signatures, spacecraft events, or solar activity</w:t>
      </w:r>
      <w:r w:rsidR="005415C3">
        <w:t xml:space="preserve">, and explains </w:t>
      </w:r>
      <w:r w:rsidR="007E6804" w:rsidRPr="007E6804">
        <w:t>how these characteristics are current</w:t>
      </w:r>
      <w:r w:rsidR="00AE7F71">
        <w:t xml:space="preserve">ly handled by the </w:t>
      </w:r>
      <w:r w:rsidR="007E6804" w:rsidRPr="007E6804">
        <w:t>pipeline.</w:t>
      </w:r>
    </w:p>
    <w:p w:rsidR="00C978E6" w:rsidRDefault="00E66310" w:rsidP="00C978E6">
      <w:pPr>
        <w:pStyle w:val="ListParagraph"/>
        <w:numPr>
          <w:ilvl w:val="0"/>
          <w:numId w:val="50"/>
        </w:numPr>
      </w:pPr>
      <w:r>
        <w:rPr>
          <w:i/>
        </w:rPr>
        <w:t xml:space="preserve">Kepler </w:t>
      </w:r>
      <w:r>
        <w:t>Data Release Notes</w:t>
      </w:r>
      <w:r w:rsidR="000761CE">
        <w:t xml:space="preserve"> </w:t>
      </w:r>
      <w:r w:rsidR="00EF7605">
        <w:t xml:space="preserve">25 </w:t>
      </w:r>
      <w:r w:rsidR="000761CE">
        <w:t>(</w:t>
      </w:r>
      <w:r w:rsidR="000761CE" w:rsidRPr="000761CE">
        <w:t>KSCI-19065</w:t>
      </w:r>
      <w:r w:rsidR="00EF7605">
        <w:t>) or DRN 25</w:t>
      </w:r>
      <w:r w:rsidR="000761CE">
        <w:t xml:space="preserve"> (Thompson et al., 2015</w:t>
      </w:r>
      <w:r w:rsidR="000B65CE">
        <w:t>).  DRN 25</w:t>
      </w:r>
      <w:r w:rsidR="000761CE">
        <w:t xml:space="preserve"> describe</w:t>
      </w:r>
      <w:r w:rsidR="000B65CE">
        <w:t>s</w:t>
      </w:r>
      <w:r w:rsidR="000761CE">
        <w:t xml:space="preserve"> signatures and</w:t>
      </w:r>
      <w:r w:rsidR="006A0AE0">
        <w:t xml:space="preserve"> events peculiar to individual q</w:t>
      </w:r>
      <w:r w:rsidR="000761CE">
        <w:t xml:space="preserve">uarters, and the </w:t>
      </w:r>
      <w:r w:rsidR="00AE7F71">
        <w:t xml:space="preserve">pipeline </w:t>
      </w:r>
      <w:r w:rsidR="000761CE">
        <w:t>software changes between a data release and the one preceding it.</w:t>
      </w:r>
    </w:p>
    <w:p w:rsidR="00404448" w:rsidRPr="0083015B" w:rsidRDefault="005C4D23" w:rsidP="00404448">
      <w:r>
        <w:t xml:space="preserve">Together, these documents </w:t>
      </w:r>
      <w:r w:rsidR="008F0971">
        <w:t xml:space="preserve">supply the </w:t>
      </w:r>
      <w:r w:rsidR="00404448">
        <w:t xml:space="preserve">information necessary for </w:t>
      </w:r>
      <w:r w:rsidR="00BF20AB">
        <w:t xml:space="preserve">obtaining and </w:t>
      </w:r>
      <w:r w:rsidR="00404448">
        <w:t xml:space="preserve">understanding </w:t>
      </w:r>
      <w:r w:rsidR="004A3FBE" w:rsidRPr="004A3FBE">
        <w:rPr>
          <w:i/>
        </w:rPr>
        <w:t>Kepler</w:t>
      </w:r>
      <w:r w:rsidR="00404448">
        <w:t xml:space="preserve"> results, given the real properties of the hardware and the data analysis methods used, and for an independent evaluation of the methods used if so desired.</w:t>
      </w:r>
      <w:r w:rsidR="008F0971">
        <w:t xml:space="preserve">  </w:t>
      </w:r>
      <w:r w:rsidR="00417609">
        <w:t xml:space="preserve">The authors, dates, and version numbers of these documents </w:t>
      </w:r>
      <w:r w:rsidR="00802BEC">
        <w:t xml:space="preserve">shown above </w:t>
      </w:r>
      <w:r w:rsidR="00417609">
        <w:t xml:space="preserve">are those expected to be current </w:t>
      </w:r>
      <w:r w:rsidR="00013617">
        <w:t xml:space="preserve">and final </w:t>
      </w:r>
      <w:r w:rsidR="00257371">
        <w:t>in Fall</w:t>
      </w:r>
      <w:r w:rsidR="00417609">
        <w:t xml:space="preserve"> 2016.</w:t>
      </w:r>
    </w:p>
    <w:p w:rsidR="00404448" w:rsidRPr="00394F88" w:rsidRDefault="00404448" w:rsidP="00404448">
      <w:pPr>
        <w:pStyle w:val="Heading2"/>
        <w:rPr>
          <w:snapToGrid w:val="0"/>
          <w:sz w:val="22"/>
        </w:rPr>
      </w:pPr>
      <w:bookmarkStart w:id="2" w:name="_Toc322942128"/>
      <w:r w:rsidRPr="00394F88">
        <w:rPr>
          <w:snapToGrid w:val="0"/>
          <w:sz w:val="22"/>
        </w:rPr>
        <w:t>Document Organization</w:t>
      </w:r>
      <w:bookmarkEnd w:id="2"/>
    </w:p>
    <w:p w:rsidR="00404448" w:rsidRPr="0083015B" w:rsidRDefault="00404448" w:rsidP="00404448">
      <w:r>
        <w:t xml:space="preserve">This document presents an overview of </w:t>
      </w:r>
      <w:r w:rsidR="004A3FBE" w:rsidRPr="004A3FBE">
        <w:rPr>
          <w:i/>
        </w:rPr>
        <w:t>Kepler</w:t>
      </w:r>
      <w:r>
        <w:t xml:space="preserve">, then follows the photons through the telescope, focal plane, and focal plane electronics.  It discusses how targets and the pixels of interest around them are specified, and describes operational details which may be helpful in planning observations.  References are in </w:t>
      </w:r>
      <w:r w:rsidR="00E607E6">
        <w:t>§</w:t>
      </w:r>
      <w:r w:rsidR="004C78B9">
        <w:fldChar w:fldCharType="begin"/>
      </w:r>
      <w:r w:rsidR="00C903B6">
        <w:instrText xml:space="preserve"> REF _Ref108521221 \r \h </w:instrText>
      </w:r>
      <w:r w:rsidR="004C78B9">
        <w:fldChar w:fldCharType="separate"/>
      </w:r>
      <w:r w:rsidR="000D2EB4">
        <w:t>9</w:t>
      </w:r>
      <w:r w:rsidR="004C78B9">
        <w:fldChar w:fldCharType="end"/>
      </w:r>
      <w:r>
        <w:t xml:space="preserve">.  </w:t>
      </w:r>
      <w:r w:rsidR="00E252F5">
        <w:t xml:space="preserve">To the extent practical, these references are in the open literature, but for internal project use of the KIH non-public communications and engineering documents are occasionally cited. </w:t>
      </w:r>
      <w:r w:rsidR="00785360">
        <w:t xml:space="preserve">Material delivered as a supplement to the initial release of this document is now available in archive file FITS headers or in the focal plane characterization </w:t>
      </w:r>
      <w:r w:rsidR="005673CD">
        <w:t xml:space="preserve">(FC) </w:t>
      </w:r>
      <w:r w:rsidR="00785360">
        <w:t>models delivered to MAST at the end of the mission.</w:t>
      </w:r>
      <w:r w:rsidR="00EB2FA7">
        <w:t xml:space="preserve"> </w:t>
      </w:r>
      <w:r w:rsidR="00FE608E">
        <w:t xml:space="preserve"> </w:t>
      </w:r>
      <w:r w:rsidR="002C6AE6">
        <w:t xml:space="preserve">Unless otherwise cited, engineering figures </w:t>
      </w:r>
      <w:r w:rsidR="00BF49E1">
        <w:t xml:space="preserve">in the KIH </w:t>
      </w:r>
      <w:r w:rsidR="002C6AE6">
        <w:t xml:space="preserve">are based on drawings developed by the </w:t>
      </w:r>
      <w:r w:rsidR="002C6AE6" w:rsidRPr="00BF49E1">
        <w:rPr>
          <w:i/>
        </w:rPr>
        <w:t>Kepler</w:t>
      </w:r>
      <w:r w:rsidR="002C6AE6">
        <w:t xml:space="preserve"> prime contractor, Ball Aerospace &amp; Technologies Corp (BATC).</w:t>
      </w:r>
    </w:p>
    <w:p w:rsidR="00404448" w:rsidRPr="00394F88" w:rsidRDefault="00404448" w:rsidP="00404448">
      <w:pPr>
        <w:pStyle w:val="Heading2"/>
        <w:rPr>
          <w:snapToGrid w:val="0"/>
          <w:sz w:val="22"/>
        </w:rPr>
      </w:pPr>
      <w:bookmarkStart w:id="3" w:name="_Toc322942129"/>
      <w:r w:rsidRPr="00394F88">
        <w:rPr>
          <w:snapToGrid w:val="0"/>
          <w:sz w:val="22"/>
        </w:rPr>
        <w:t>Document Update Plans</w:t>
      </w:r>
      <w:bookmarkEnd w:id="3"/>
    </w:p>
    <w:p w:rsidR="00D069E9" w:rsidRDefault="00622A7D" w:rsidP="00404448">
      <w:r>
        <w:t xml:space="preserve">This document was </w:t>
      </w:r>
      <w:r w:rsidR="00BF762F">
        <w:t xml:space="preserve">initially </w:t>
      </w:r>
      <w:r w:rsidR="00404448">
        <w:t xml:space="preserve">released with the first distribution of flight data to the </w:t>
      </w:r>
      <w:r w:rsidR="004A3FBE" w:rsidRPr="004A3FBE">
        <w:rPr>
          <w:i/>
        </w:rPr>
        <w:t>Kepler</w:t>
      </w:r>
      <w:r w:rsidR="00404448">
        <w:t xml:space="preserve"> Science Team, to incorporate actual on-orbit performance</w:t>
      </w:r>
      <w:r w:rsidR="005673CD">
        <w:t xml:space="preserve"> after several months of operation</w:t>
      </w:r>
      <w:r w:rsidR="00BF762F">
        <w:t>.</w:t>
      </w:r>
      <w:r w:rsidR="005673CD">
        <w:t xml:space="preserve">  This second and final version has been revised to remove infor</w:t>
      </w:r>
      <w:r w:rsidR="004D7AD2">
        <w:t xml:space="preserve">mation superseded by the KDCH, </w:t>
      </w:r>
      <w:r w:rsidR="005673CD">
        <w:t>F</w:t>
      </w:r>
      <w:r w:rsidR="004E1188">
        <w:t>ocal Plane Characterization (F</w:t>
      </w:r>
      <w:r w:rsidR="005673CD">
        <w:t>C</w:t>
      </w:r>
      <w:r w:rsidR="004E1188">
        <w:t>)</w:t>
      </w:r>
      <w:r w:rsidR="005673CD">
        <w:t xml:space="preserve"> models, FITS headers, and publications on particular topics.</w:t>
      </w:r>
    </w:p>
    <w:p w:rsidR="00404448" w:rsidRPr="000C0D2E" w:rsidRDefault="00D069E9" w:rsidP="00404448">
      <w:r>
        <w:t xml:space="preserve">The </w:t>
      </w:r>
      <w:r w:rsidRPr="00DB7008">
        <w:rPr>
          <w:i/>
        </w:rPr>
        <w:t>Kepler</w:t>
      </w:r>
      <w:r>
        <w:t xml:space="preserve"> mission was reconstituted as the </w:t>
      </w:r>
      <w:r w:rsidRPr="00DB7008">
        <w:rPr>
          <w:i/>
        </w:rPr>
        <w:t>K2</w:t>
      </w:r>
      <w:r>
        <w:t xml:space="preserve"> mission after the failure of the 2</w:t>
      </w:r>
      <w:r w:rsidRPr="00D069E9">
        <w:rPr>
          <w:vertAlign w:val="superscript"/>
        </w:rPr>
        <w:t>nd</w:t>
      </w:r>
      <w:r>
        <w:t xml:space="preserve"> of </w:t>
      </w:r>
      <w:r w:rsidRPr="00DB7008">
        <w:rPr>
          <w:i/>
        </w:rPr>
        <w:t>Kepler</w:t>
      </w:r>
      <w:r>
        <w:t xml:space="preserve">’s 4 reaction wheels in </w:t>
      </w:r>
      <w:r w:rsidR="004D7AD2">
        <w:t xml:space="preserve">May 2013 (Howell et al., 2014; </w:t>
      </w:r>
      <w:r>
        <w:t>Van Cleve et al., 2016).</w:t>
      </w:r>
      <w:r w:rsidR="004D7AD2">
        <w:t xml:space="preserve">  However, since the flight system remains otherwise unchanged, with the exception of the loss of CCD module </w:t>
      </w:r>
      <w:r w:rsidR="00584FC5">
        <w:t xml:space="preserve">7 </w:t>
      </w:r>
      <w:r w:rsidR="004D7AD2">
        <w:t xml:space="preserve">between the end of </w:t>
      </w:r>
      <w:r w:rsidR="004D7AD2" w:rsidRPr="00E4655F">
        <w:rPr>
          <w:i/>
        </w:rPr>
        <w:t>Kepler</w:t>
      </w:r>
      <w:r w:rsidR="004D7AD2">
        <w:t xml:space="preserve"> and the start of </w:t>
      </w:r>
      <w:r w:rsidR="004D7AD2" w:rsidRPr="003B5F3A">
        <w:rPr>
          <w:i/>
        </w:rPr>
        <w:t>K2</w:t>
      </w:r>
      <w:r w:rsidR="004D7AD2">
        <w:t xml:space="preserve">, no further revisions of this document are planned.  </w:t>
      </w:r>
      <w:r w:rsidR="001908E5">
        <w:t>This document is written in the present tense unless referring to specific historical events, in the sense that the data sets</w:t>
      </w:r>
      <w:r w:rsidR="005A5C31">
        <w:t xml:space="preserve"> and most aspects of the flight system</w:t>
      </w:r>
      <w:r w:rsidR="001908E5">
        <w:t xml:space="preserve"> “are” though </w:t>
      </w:r>
      <w:r w:rsidR="001908E5" w:rsidRPr="001908E5">
        <w:rPr>
          <w:i/>
        </w:rPr>
        <w:t>Kepler</w:t>
      </w:r>
      <w:r w:rsidR="001908E5">
        <w:t xml:space="preserve"> </w:t>
      </w:r>
      <w:r w:rsidR="005A5C31">
        <w:t xml:space="preserve">as a mission </w:t>
      </w:r>
      <w:r w:rsidR="001908E5">
        <w:t xml:space="preserve">“was.” </w:t>
      </w:r>
    </w:p>
    <w:p w:rsidR="00404448" w:rsidRDefault="00404448" w:rsidP="00404448">
      <w:pPr>
        <w:pStyle w:val="Heading1"/>
        <w:rPr>
          <w:snapToGrid w:val="0"/>
        </w:rPr>
      </w:pPr>
      <w:bookmarkStart w:id="4" w:name="_Toc322942130"/>
      <w:r>
        <w:rPr>
          <w:snapToGrid w:val="0"/>
        </w:rPr>
        <w:t>Introduction to Kepler</w:t>
      </w:r>
      <w:bookmarkEnd w:id="4"/>
    </w:p>
    <w:p w:rsidR="00404448" w:rsidRPr="00511E22" w:rsidRDefault="00404448" w:rsidP="00404448">
      <w:r>
        <w:t xml:space="preserve">See </w:t>
      </w:r>
      <w:r w:rsidR="00E607E6">
        <w:t>§</w:t>
      </w:r>
      <w:r w:rsidR="004C78B9">
        <w:fldChar w:fldCharType="begin"/>
      </w:r>
      <w:r w:rsidR="00C903B6">
        <w:instrText xml:space="preserve"> REF _Ref200444167 \r \h </w:instrText>
      </w:r>
      <w:r w:rsidR="004C78B9">
        <w:fldChar w:fldCharType="separate"/>
      </w:r>
      <w:r w:rsidR="000D2EB4">
        <w:t>8</w:t>
      </w:r>
      <w:r w:rsidR="004C78B9">
        <w:fldChar w:fldCharType="end"/>
      </w:r>
      <w:r>
        <w:t xml:space="preserve"> for acronyms.</w:t>
      </w:r>
    </w:p>
    <w:p w:rsidR="00404448" w:rsidRPr="00394F88" w:rsidRDefault="00404448" w:rsidP="00404448">
      <w:pPr>
        <w:pStyle w:val="Heading2"/>
        <w:rPr>
          <w:snapToGrid w:val="0"/>
          <w:sz w:val="22"/>
        </w:rPr>
      </w:pPr>
      <w:bookmarkStart w:id="5" w:name="_Toc322942131"/>
      <w:r w:rsidRPr="00394F88">
        <w:rPr>
          <w:snapToGrid w:val="0"/>
          <w:sz w:val="22"/>
        </w:rPr>
        <w:t>Mission Overview</w:t>
      </w:r>
      <w:bookmarkEnd w:id="5"/>
    </w:p>
    <w:p w:rsidR="00404448" w:rsidRDefault="004A3FBE" w:rsidP="00404448">
      <w:r w:rsidRPr="004A3FBE">
        <w:rPr>
          <w:i/>
        </w:rPr>
        <w:t>Kepler</w:t>
      </w:r>
      <w:r w:rsidR="00404448">
        <w:t xml:space="preserve"> was launched into a trailing heliocentric orbit on March 7, 2009 UT.  </w:t>
      </w:r>
      <w:r w:rsidR="00404448" w:rsidRPr="00E94D60">
        <w:t xml:space="preserve">The </w:t>
      </w:r>
      <w:r w:rsidRPr="004A3FBE">
        <w:rPr>
          <w:i/>
        </w:rPr>
        <w:t>Kepler</w:t>
      </w:r>
      <w:r w:rsidR="00404448">
        <w:t xml:space="preserve"> Mission </w:t>
      </w:r>
      <w:r w:rsidR="00404448" w:rsidRPr="00E94D60">
        <w:t xml:space="preserve">is designed to detect </w:t>
      </w:r>
      <w:r w:rsidR="00404448">
        <w:t>transits of Earth-</w:t>
      </w:r>
      <w:r w:rsidR="00404448" w:rsidRPr="00E94D60">
        <w:t>size planets in the “habitable zone” orbiting 9&lt;</w:t>
      </w:r>
      <w:r w:rsidR="00404448">
        <w:t xml:space="preserve"> </w:t>
      </w:r>
      <w:r w:rsidR="00404448" w:rsidRPr="00E94D60">
        <w:t>m</w:t>
      </w:r>
      <w:r w:rsidR="00404448" w:rsidRPr="00590ADA">
        <w:rPr>
          <w:vertAlign w:val="subscript"/>
        </w:rPr>
        <w:t>v</w:t>
      </w:r>
      <w:r w:rsidR="00404448">
        <w:t xml:space="preserve">&lt;15, F through M type dwarf stars by means of differential photometry of </w:t>
      </w:r>
      <w:r w:rsidR="00584FC5">
        <w:t>&gt;</w:t>
      </w:r>
      <w:r w:rsidR="00404448">
        <w:t>100,000 stars in the constellations Cygnus and Lyra.</w:t>
      </w:r>
      <w:r w:rsidR="00404448" w:rsidRPr="00E94D60">
        <w:t xml:space="preserve"> </w:t>
      </w:r>
      <w:r w:rsidR="00404448">
        <w:t>T</w:t>
      </w:r>
      <w:r w:rsidR="00F5543C">
        <w:t>he photometric precision was</w:t>
      </w:r>
      <w:r w:rsidR="00404448">
        <w:t xml:space="preserve"> expected to be 20 ppm for 12</w:t>
      </w:r>
      <w:r w:rsidR="00404448" w:rsidRPr="00BA54F4">
        <w:rPr>
          <w:vertAlign w:val="superscript"/>
        </w:rPr>
        <w:t>th</w:t>
      </w:r>
      <w:r w:rsidR="00404448">
        <w:t xml:space="preserve"> magnitude G2V stars, for a 6.5 hr integration</w:t>
      </w:r>
      <w:r w:rsidR="00784AD6">
        <w:t>, though solar-type stars themselves turned out to be noisier than expected (Gilliland et al., 2011</w:t>
      </w:r>
      <w:r w:rsidR="003035FA">
        <w:t xml:space="preserve">; </w:t>
      </w:r>
      <w:r w:rsidR="00EE4465">
        <w:t>Gilliland et al., 2015</w:t>
      </w:r>
      <w:r w:rsidR="00784AD6">
        <w:t>)</w:t>
      </w:r>
      <w:r w:rsidR="00404448">
        <w:t>.  The sole scientific instrument is the</w:t>
      </w:r>
      <w:r w:rsidR="00404448" w:rsidRPr="00E94D60">
        <w:t xml:space="preserve"> </w:t>
      </w:r>
      <w:r w:rsidR="00404448">
        <w:t xml:space="preserve">Photometer, a </w:t>
      </w:r>
      <w:r w:rsidR="00404448" w:rsidRPr="00E94D60">
        <w:t xml:space="preserve">0.95 m aperture Schmidt telescope </w:t>
      </w:r>
      <w:r w:rsidR="00404448">
        <w:t>which feeds the 94.6</w:t>
      </w:r>
      <w:r w:rsidR="00404448" w:rsidRPr="00E94D60">
        <w:t xml:space="preserve"> </w:t>
      </w:r>
      <w:r w:rsidR="00404448">
        <w:t>million pixel CCD detector</w:t>
      </w:r>
      <w:r w:rsidR="00404448" w:rsidRPr="00E94D60">
        <w:t xml:space="preserve"> array</w:t>
      </w:r>
      <w:r w:rsidR="00917AAA">
        <w:t xml:space="preserve">, which </w:t>
      </w:r>
      <w:r w:rsidR="00404448">
        <w:t>contains both Science and Fine Guidance Sensor (FGS) CCDs.  The diameter of the FOV is 16.1</w:t>
      </w:r>
      <w:r w:rsidR="00404448">
        <w:rPr>
          <w:vertAlign w:val="superscript"/>
        </w:rPr>
        <w:t>o</w:t>
      </w:r>
      <w:r w:rsidR="00404448" w:rsidRPr="00E94D60">
        <w:t xml:space="preserve">, </w:t>
      </w:r>
      <w:r w:rsidR="00404448">
        <w:t>of which 115.6 square degrees are covered with active pixels.  The area of active pixels vignetted by &lt;11% amounts to 101 square degrees.  The four FGS</w:t>
      </w:r>
      <w:r w:rsidR="00404448" w:rsidRPr="00E94D60">
        <w:t xml:space="preserve"> CCD modules are mounted </w:t>
      </w:r>
      <w:r w:rsidR="00404448">
        <w:t>in</w:t>
      </w:r>
      <w:r w:rsidR="00404448" w:rsidRPr="00E94D60">
        <w:t xml:space="preserve"> the corners of the </w:t>
      </w:r>
      <w:r w:rsidR="00404448">
        <w:t xml:space="preserve">Science array </w:t>
      </w:r>
      <w:r w:rsidR="00404448" w:rsidRPr="00E94D60">
        <w:t xml:space="preserve">to </w:t>
      </w:r>
      <w:r w:rsidR="00404448">
        <w:t xml:space="preserve">minimize thermomechanical drift between the attitude control system and the science CCDs, </w:t>
      </w:r>
      <w:r w:rsidR="00404448" w:rsidRPr="00E94D60">
        <w:t>in order t</w:t>
      </w:r>
      <w:r w:rsidR="00404448">
        <w:t>o attain the required &lt; 0.009 arcsec 3</w:t>
      </w:r>
      <w:r w:rsidR="00404448">
        <w:sym w:font="Symbol" w:char="F073"/>
      </w:r>
      <w:r w:rsidR="00404448">
        <w:t xml:space="preserve"> single-axis pointing stability</w:t>
      </w:r>
      <w:r w:rsidR="00D37A3A">
        <w:t xml:space="preserve"> on </w:t>
      </w:r>
      <w:r w:rsidR="00D37A3A">
        <w:sym w:font="Symbol" w:char="F0B3"/>
      </w:r>
      <w:r w:rsidR="00D37A3A">
        <w:t xml:space="preserve"> 15 min time scales</w:t>
      </w:r>
      <w:r w:rsidR="00404448" w:rsidRPr="00E94D60">
        <w:t xml:space="preserve">.  </w:t>
      </w:r>
    </w:p>
    <w:p w:rsidR="00404448" w:rsidRDefault="00404448" w:rsidP="00404448">
      <w:r>
        <w:t xml:space="preserve">The Local Detector Electronics (LDE) operates both kinds of CCDs and digitizes the output of all 94.6 million science pixels. The interval between reads of a given pixel of a CCD is the </w:t>
      </w:r>
      <w:r w:rsidRPr="00DC1BFF">
        <w:rPr>
          <w:i/>
        </w:rPr>
        <w:t>integration time</w:t>
      </w:r>
      <w:r>
        <w:t xml:space="preserve">, which is in turn composed of a selectable </w:t>
      </w:r>
      <w:r w:rsidRPr="00DC1BFF">
        <w:rPr>
          <w:i/>
        </w:rPr>
        <w:t>exposure time</w:t>
      </w:r>
      <w:r>
        <w:t xml:space="preserve"> and fixed </w:t>
      </w:r>
      <w:r w:rsidRPr="00DC1BFF">
        <w:rPr>
          <w:i/>
        </w:rPr>
        <w:t>readout time</w:t>
      </w:r>
      <w:r w:rsidR="00E139C3">
        <w:t xml:space="preserve"> of 0.52</w:t>
      </w:r>
      <w:r>
        <w:t xml:space="preserve"> s.  The set of pixels collected by one repetition of the CCD clocking cycle is called a </w:t>
      </w:r>
      <w:r w:rsidRPr="00E12177">
        <w:rPr>
          <w:i/>
        </w:rPr>
        <w:t>frame</w:t>
      </w:r>
      <w:r>
        <w:t xml:space="preserve">, and frame and integration time are synonymous, though the former is preferred where applicable since it is less multivalent. The flight exposure time is 6.02 s, giving </w:t>
      </w:r>
      <w:r w:rsidR="00584FC5">
        <w:t>a frame</w:t>
      </w:r>
      <w:r>
        <w:t xml:space="preserve"> time = exposure + readout times = 6.54 s. All pixels are coadded in the Science Data Accumulators (SDAs).  The data volume is further red</w:t>
      </w:r>
      <w:r w:rsidR="00F4665E">
        <w:t>uced spatially by a factor of ~17</w:t>
      </w:r>
      <w:r>
        <w:t xml:space="preserve"> since only those pixels containing targets and some calibration pixels are transferred from the SDA to the Solid State Recorder (SSR) for later downlink.  The set of coadded and stored pixels is called a </w:t>
      </w:r>
      <w:r w:rsidRPr="008A2525">
        <w:rPr>
          <w:i/>
        </w:rPr>
        <w:t>cadence</w:t>
      </w:r>
      <w:r>
        <w:t xml:space="preserve">, while the total amount of time over which the data in a cadence is coadded is the </w:t>
      </w:r>
      <w:r w:rsidRPr="008A2525">
        <w:rPr>
          <w:i/>
        </w:rPr>
        <w:t>cadence period</w:t>
      </w:r>
      <w:r>
        <w:t>, which in the case of the flight default operating parameters is 1</w:t>
      </w:r>
      <w:r w:rsidR="00F17FC8">
        <w:t>765.5</w:t>
      </w:r>
      <w:r>
        <w:t xml:space="preserve"> s = 0.49</w:t>
      </w:r>
      <w:r w:rsidR="002213C8">
        <w:t>04</w:t>
      </w:r>
      <w:r>
        <w:t xml:space="preserve"> h, or 270 integration times.  Data volume is reduced by another factor of 4 or so by various data compression techniques (See </w:t>
      </w:r>
      <w:r w:rsidR="00E607E6">
        <w:t>§</w:t>
      </w:r>
      <w:r w:rsidR="009D7068">
        <w:t>7.4</w:t>
      </w:r>
      <w:r>
        <w:t xml:space="preserve">). FGS CCDs are read out continuously at 10 Hz.  A relatively small number of pixels (43,520), representing 512 targets, are coadded and read out of the SDAs once a minute; these, not surprisingly, are called the Short Cadence (SC) targets.  </w:t>
      </w:r>
    </w:p>
    <w:p w:rsidR="00404448" w:rsidRDefault="00404448" w:rsidP="00404448">
      <w:r>
        <w:t xml:space="preserve">The data is downlinked monthly through the High Gain Antenna (HGA) and processed by the Data Management Center (DMC) and the Science Operations Center (SOC), then archived at </w:t>
      </w:r>
      <w:r w:rsidR="00092759">
        <w:t xml:space="preserve">the </w:t>
      </w:r>
      <w:r w:rsidR="00092759" w:rsidRPr="00960FE2">
        <w:rPr>
          <w:rFonts w:eastAsia="Times New Roman"/>
          <w:color w:val="000000"/>
        </w:rPr>
        <w:t>Mikulski Archive for Space Telescopes (MAST)</w:t>
      </w:r>
      <w:r w:rsidRPr="00960FE2">
        <w:t>.</w:t>
      </w:r>
      <w:r>
        <w:t xml:space="preserve">  A limited number of pixels (~96,000, or 0.1% of pixels), called Reference pixels, are available every 4 days via the Low Gain Antenna (LGA); they are intended for photometer performance monitoring rather than science data collection.  Data</w:t>
      </w:r>
      <w:r w:rsidR="00051327">
        <w:t xml:space="preserve"> are v</w:t>
      </w:r>
      <w:r>
        <w:t>alidated, processed, and delivered to the obs</w:t>
      </w:r>
      <w:r w:rsidR="00BD7D81">
        <w:t>erver quarterly, approximately 3</w:t>
      </w:r>
      <w:r>
        <w:t xml:space="preserve"> months after the end of the quarter.</w:t>
      </w:r>
    </w:p>
    <w:p w:rsidR="00404448" w:rsidRDefault="00404448" w:rsidP="00404448">
      <w:r>
        <w:t xml:space="preserve">Every quarter, </w:t>
      </w:r>
      <w:r w:rsidR="004A3FBE" w:rsidRPr="004A3FBE">
        <w:rPr>
          <w:i/>
        </w:rPr>
        <w:t>Kepler</w:t>
      </w:r>
      <w:r>
        <w:t xml:space="preserve"> rolls about its optical axis by 90 degrees to keep the Sun on the solar panels and the radiator</w:t>
      </w:r>
      <w:r w:rsidR="00092759">
        <w:t>,</w:t>
      </w:r>
      <w:r>
        <w:t xml:space="preserve"> which cools the focal plane</w:t>
      </w:r>
      <w:r w:rsidR="00092759">
        <w:t>,</w:t>
      </w:r>
      <w:r>
        <w:t xml:space="preserve"> pointed to deep space.  The same area of the sky is observed for the entire mission, but a given star will wind up in four different parts of the focal plane, depending on season.</w:t>
      </w:r>
    </w:p>
    <w:p w:rsidR="00404448" w:rsidRDefault="004A3FBE" w:rsidP="00404448">
      <w:r w:rsidRPr="004A3FBE">
        <w:rPr>
          <w:i/>
        </w:rPr>
        <w:t>Kepler</w:t>
      </w:r>
      <w:r w:rsidR="00404448">
        <w:t xml:space="preserve"> does not have many user options, as it is designed to precisely repeat observations for the duration of the mission. There are no filters, dispersive elements, or integration parameters for the observer to select, once the instrument is calibrated and long-term operating parameters are fixed during Commissioning (next Section).  </w:t>
      </w:r>
      <w:r w:rsidRPr="004A3FBE">
        <w:rPr>
          <w:i/>
        </w:rPr>
        <w:t>Kepler</w:t>
      </w:r>
      <w:r w:rsidR="00404448">
        <w:t xml:space="preserve"> planning consists of selecting targets, and assigning pixels of interest to include for each target (the “aperture”).  The </w:t>
      </w:r>
      <w:r w:rsidRPr="004A3FBE">
        <w:rPr>
          <w:i/>
        </w:rPr>
        <w:t>Kepler</w:t>
      </w:r>
      <w:r w:rsidR="00F4665E">
        <w:t xml:space="preserve"> Data Processing</w:t>
      </w:r>
      <w:r w:rsidR="00404448">
        <w:t xml:space="preserve"> Pipeline removes instrumental signatures from the pixel data in a standard way, using a standard set of calibration data (see the </w:t>
      </w:r>
      <w:r w:rsidRPr="004A3FBE">
        <w:rPr>
          <w:i/>
        </w:rPr>
        <w:t>Kepler</w:t>
      </w:r>
      <w:r w:rsidR="00404448">
        <w:t xml:space="preserve"> Data Handbook, </w:t>
      </w:r>
      <w:r w:rsidR="00F9242A">
        <w:t>KDPH</w:t>
      </w:r>
      <w:r w:rsidR="00404448">
        <w:t>). The Pipeline then generates photometry time series, which are corrected for systematic errors and then subjected to a transit search. Transit candidates are passed through a series of data validation steps to ensure that the observed variation in flux comes from the target and not background stars or instrumental effects.</w:t>
      </w:r>
    </w:p>
    <w:p w:rsidR="00404448" w:rsidRDefault="00404448" w:rsidP="00404448">
      <w:r>
        <w:t xml:space="preserve">The Commissioning Phase, during which operating parameters were selected for the duration of the mission, was concluded on May 12, 2009.  The baseline science mission </w:t>
      </w:r>
      <w:r w:rsidR="00F83CCF">
        <w:t xml:space="preserve">lasted </w:t>
      </w:r>
      <w:r w:rsidR="00D22DD1">
        <w:t xml:space="preserve">four years </w:t>
      </w:r>
      <w:r w:rsidR="00F83CCF">
        <w:t xml:space="preserve">to </w:t>
      </w:r>
      <w:r w:rsidR="00B61884">
        <w:t xml:space="preserve">May 13, 2013, </w:t>
      </w:r>
      <w:r w:rsidR="00F83CCF">
        <w:t>when</w:t>
      </w:r>
      <w:r w:rsidR="00D22DD1">
        <w:t xml:space="preserve"> the 2</w:t>
      </w:r>
      <w:r w:rsidR="00D22DD1" w:rsidRPr="00D22DD1">
        <w:rPr>
          <w:vertAlign w:val="superscript"/>
        </w:rPr>
        <w:t>nd</w:t>
      </w:r>
      <w:r w:rsidR="00D22DD1">
        <w:t xml:space="preserve"> reaction wheel failed.</w:t>
      </w:r>
    </w:p>
    <w:p w:rsidR="00404448" w:rsidRPr="00394F88" w:rsidRDefault="00404448" w:rsidP="00404448">
      <w:pPr>
        <w:pStyle w:val="Heading2"/>
        <w:rPr>
          <w:sz w:val="22"/>
        </w:rPr>
      </w:pPr>
      <w:bookmarkStart w:id="6" w:name="_Toc322942132"/>
      <w:r w:rsidRPr="00394F88">
        <w:rPr>
          <w:sz w:val="22"/>
        </w:rPr>
        <w:t>Commissioning</w:t>
      </w:r>
      <w:bookmarkEnd w:id="6"/>
    </w:p>
    <w:p w:rsidR="00404448" w:rsidRDefault="00404448" w:rsidP="00404448">
      <w:r>
        <w:t xml:space="preserve">A series of observations was conducted during Commissioning to measure focal plane and image properties, and define target apertures for Science data collection.  The data collected before Dust Cover Ejection (DCE) is unique, since – unlike HST – </w:t>
      </w:r>
      <w:r w:rsidR="004A3FBE" w:rsidRPr="004A3FBE">
        <w:rPr>
          <w:i/>
        </w:rPr>
        <w:t>Kepler</w:t>
      </w:r>
      <w:r>
        <w:t xml:space="preserve">’s dust cover was permanently jettisoned, and the Photometer has no shutter.  Data collected during focusing is in principle repeatable, but in practice it is thought to be unlikely that the benefits of repeating this activity outweigh the risks (such as a stuck mechanism) or costs (lost science observing time).  Since the Commissioning data is an essential part of the description of how </w:t>
      </w:r>
      <w:r w:rsidR="004A3FBE" w:rsidRPr="004A3FBE">
        <w:rPr>
          <w:i/>
        </w:rPr>
        <w:t>Kepler</w:t>
      </w:r>
      <w:r>
        <w:t xml:space="preserve"> actually works on-orbit, and of the data processing to be detailed in the </w:t>
      </w:r>
      <w:r w:rsidR="00F9242A">
        <w:t>KDPH</w:t>
      </w:r>
      <w:r>
        <w:t>, a summary table is shown below.</w:t>
      </w:r>
    </w:p>
    <w:p w:rsidR="00404448" w:rsidRDefault="00404448" w:rsidP="00404448">
      <w:pPr>
        <w:pStyle w:val="Caption"/>
        <w:keepNext/>
        <w:outlineLvl w:val="0"/>
      </w:pPr>
      <w:bookmarkStart w:id="7" w:name="_Toc322942280"/>
      <w:r>
        <w:t xml:space="preserve">Table </w:t>
      </w:r>
      <w:fldSimple w:instr=" SEQ Table \* ARABIC ">
        <w:r w:rsidR="000D2EB4">
          <w:rPr>
            <w:noProof/>
          </w:rPr>
          <w:t>1</w:t>
        </w:r>
      </w:fldSimple>
      <w:r>
        <w:t>:  List of Commissioning Activities</w:t>
      </w:r>
      <w:bookmarkEnd w:id="7"/>
    </w:p>
    <w:tbl>
      <w:tblPr>
        <w:tblW w:w="9478" w:type="dxa"/>
        <w:tblInd w:w="98" w:type="dxa"/>
        <w:tblLook w:val="0000"/>
      </w:tblPr>
      <w:tblGrid>
        <w:gridCol w:w="1981"/>
        <w:gridCol w:w="3159"/>
        <w:gridCol w:w="4338"/>
      </w:tblGrid>
      <w:tr w:rsidR="00404448" w:rsidRPr="006C7C82">
        <w:trPr>
          <w:trHeight w:val="320"/>
        </w:trPr>
        <w:tc>
          <w:tcPr>
            <w:tcW w:w="1981" w:type="dxa"/>
            <w:tcBorders>
              <w:top w:val="single" w:sz="4" w:space="0" w:color="auto"/>
              <w:left w:val="single" w:sz="4" w:space="0" w:color="auto"/>
              <w:bottom w:val="single" w:sz="4" w:space="0" w:color="auto"/>
              <w:right w:val="single" w:sz="4" w:space="0" w:color="auto"/>
            </w:tcBorders>
            <w:shd w:val="clear" w:color="auto" w:fill="auto"/>
            <w:vAlign w:val="bottom"/>
          </w:tcPr>
          <w:p w:rsidR="00404448" w:rsidRPr="00437E38" w:rsidRDefault="00404448" w:rsidP="00404448">
            <w:pPr>
              <w:spacing w:after="0"/>
            </w:pPr>
            <w:r w:rsidRPr="00437E38">
              <w:t>Activity Label</w:t>
            </w:r>
          </w:p>
        </w:tc>
        <w:tc>
          <w:tcPr>
            <w:tcW w:w="3159" w:type="dxa"/>
            <w:tcBorders>
              <w:top w:val="single" w:sz="4" w:space="0" w:color="auto"/>
              <w:left w:val="single" w:sz="4" w:space="0" w:color="auto"/>
              <w:bottom w:val="single" w:sz="4" w:space="0" w:color="auto"/>
              <w:right w:val="single" w:sz="4" w:space="0" w:color="auto"/>
            </w:tcBorders>
            <w:shd w:val="clear" w:color="auto" w:fill="auto"/>
            <w:vAlign w:val="bottom"/>
          </w:tcPr>
          <w:p w:rsidR="00404448" w:rsidRPr="00437E38" w:rsidRDefault="00404448" w:rsidP="00404448">
            <w:pPr>
              <w:spacing w:after="0"/>
            </w:pPr>
            <w:r w:rsidRPr="00437E38">
              <w:t>Description</w:t>
            </w:r>
          </w:p>
        </w:tc>
        <w:tc>
          <w:tcPr>
            <w:tcW w:w="4338" w:type="dxa"/>
            <w:tcBorders>
              <w:top w:val="single" w:sz="4" w:space="0" w:color="auto"/>
              <w:left w:val="single" w:sz="4" w:space="0" w:color="auto"/>
              <w:bottom w:val="single" w:sz="4" w:space="0" w:color="auto"/>
              <w:right w:val="single" w:sz="4" w:space="0" w:color="auto"/>
            </w:tcBorders>
          </w:tcPr>
          <w:p w:rsidR="00404448" w:rsidRPr="00437E38" w:rsidRDefault="00404448" w:rsidP="00404448">
            <w:pPr>
              <w:spacing w:after="0"/>
            </w:pPr>
            <w:r>
              <w:t>Chief Results</w:t>
            </w:r>
          </w:p>
        </w:tc>
      </w:tr>
      <w:tr w:rsidR="00404448" w:rsidRPr="006C7C82">
        <w:trPr>
          <w:trHeight w:val="320"/>
        </w:trPr>
        <w:tc>
          <w:tcPr>
            <w:tcW w:w="1981" w:type="dxa"/>
            <w:tcBorders>
              <w:top w:val="single" w:sz="4" w:space="0" w:color="auto"/>
              <w:left w:val="single" w:sz="4" w:space="0" w:color="auto"/>
              <w:bottom w:val="single" w:sz="4" w:space="0" w:color="auto"/>
              <w:right w:val="single" w:sz="4" w:space="0" w:color="auto"/>
            </w:tcBorders>
            <w:shd w:val="clear" w:color="auto" w:fill="auto"/>
            <w:vAlign w:val="bottom"/>
          </w:tcPr>
          <w:p w:rsidR="00404448" w:rsidRPr="00062DCD" w:rsidRDefault="00404448" w:rsidP="00404448">
            <w:pPr>
              <w:spacing w:after="0"/>
              <w:rPr>
                <w:rFonts w:ascii="Courier" w:hAnsi="Courier"/>
              </w:rPr>
            </w:pPr>
            <w:r>
              <w:rPr>
                <w:rFonts w:ascii="Courier" w:hAnsi="Courier"/>
              </w:rPr>
              <w:t>C-018_CR</w:t>
            </w:r>
          </w:p>
        </w:tc>
        <w:tc>
          <w:tcPr>
            <w:tcW w:w="3159" w:type="dxa"/>
            <w:tcBorders>
              <w:top w:val="single" w:sz="4" w:space="0" w:color="auto"/>
              <w:left w:val="single" w:sz="4" w:space="0" w:color="auto"/>
              <w:bottom w:val="single" w:sz="4" w:space="0" w:color="auto"/>
              <w:right w:val="single" w:sz="4" w:space="0" w:color="auto"/>
            </w:tcBorders>
            <w:shd w:val="clear" w:color="auto" w:fill="auto"/>
            <w:vAlign w:val="bottom"/>
          </w:tcPr>
          <w:p w:rsidR="00404448" w:rsidRPr="00062DCD" w:rsidRDefault="00404448" w:rsidP="00404448">
            <w:pPr>
              <w:spacing w:after="0"/>
              <w:rPr>
                <w:rFonts w:ascii="Courier" w:hAnsi="Courier"/>
              </w:rPr>
            </w:pPr>
            <w:r>
              <w:rPr>
                <w:rFonts w:ascii="Courier" w:hAnsi="Courier"/>
              </w:rPr>
              <w:t>Cosmic Ray</w:t>
            </w:r>
          </w:p>
        </w:tc>
        <w:tc>
          <w:tcPr>
            <w:tcW w:w="4338" w:type="dxa"/>
            <w:tcBorders>
              <w:top w:val="single" w:sz="4" w:space="0" w:color="auto"/>
              <w:left w:val="single" w:sz="4" w:space="0" w:color="auto"/>
              <w:bottom w:val="single" w:sz="4" w:space="0" w:color="auto"/>
              <w:right w:val="single" w:sz="4" w:space="0" w:color="auto"/>
            </w:tcBorders>
          </w:tcPr>
          <w:p w:rsidR="00404448" w:rsidRPr="00062DCD" w:rsidRDefault="00404448" w:rsidP="00404448">
            <w:pPr>
              <w:spacing w:after="0"/>
              <w:rPr>
                <w:sz w:val="22"/>
              </w:rPr>
            </w:pPr>
            <w:r>
              <w:rPr>
                <w:sz w:val="22"/>
              </w:rPr>
              <w:t>Measured Cosmic Ray deposited charge spectrum</w:t>
            </w:r>
          </w:p>
        </w:tc>
      </w:tr>
      <w:tr w:rsidR="00404448" w:rsidRPr="006C7C82">
        <w:trPr>
          <w:trHeight w:val="320"/>
        </w:trPr>
        <w:tc>
          <w:tcPr>
            <w:tcW w:w="1981" w:type="dxa"/>
            <w:tcBorders>
              <w:top w:val="single" w:sz="4" w:space="0" w:color="auto"/>
              <w:left w:val="single" w:sz="4" w:space="0" w:color="auto"/>
              <w:bottom w:val="single" w:sz="4" w:space="0" w:color="auto"/>
              <w:right w:val="single" w:sz="4" w:space="0" w:color="auto"/>
            </w:tcBorders>
            <w:shd w:val="clear" w:color="auto" w:fill="auto"/>
            <w:vAlign w:val="bottom"/>
          </w:tcPr>
          <w:p w:rsidR="00404448" w:rsidRPr="00062DCD" w:rsidRDefault="00404448" w:rsidP="00404448">
            <w:pPr>
              <w:spacing w:after="0"/>
              <w:rPr>
                <w:rFonts w:ascii="Courier" w:hAnsi="Courier"/>
              </w:rPr>
            </w:pPr>
            <w:r>
              <w:rPr>
                <w:rFonts w:ascii="Courier" w:hAnsi="Courier"/>
              </w:rPr>
              <w:t>C-019_BD</w:t>
            </w:r>
          </w:p>
        </w:tc>
        <w:tc>
          <w:tcPr>
            <w:tcW w:w="3159" w:type="dxa"/>
            <w:tcBorders>
              <w:top w:val="single" w:sz="4" w:space="0" w:color="auto"/>
              <w:left w:val="single" w:sz="4" w:space="0" w:color="auto"/>
              <w:bottom w:val="single" w:sz="4" w:space="0" w:color="auto"/>
              <w:right w:val="single" w:sz="4" w:space="0" w:color="auto"/>
            </w:tcBorders>
            <w:shd w:val="clear" w:color="auto" w:fill="auto"/>
            <w:vAlign w:val="bottom"/>
          </w:tcPr>
          <w:p w:rsidR="00404448" w:rsidRPr="00062DCD" w:rsidRDefault="00404448" w:rsidP="00404448">
            <w:pPr>
              <w:spacing w:after="0"/>
              <w:rPr>
                <w:rFonts w:ascii="Courier" w:hAnsi="Courier"/>
              </w:rPr>
            </w:pPr>
            <w:r>
              <w:rPr>
                <w:rFonts w:ascii="Courier" w:hAnsi="Courier"/>
              </w:rPr>
              <w:t>Bias/Dark</w:t>
            </w:r>
          </w:p>
        </w:tc>
        <w:tc>
          <w:tcPr>
            <w:tcW w:w="4338" w:type="dxa"/>
            <w:tcBorders>
              <w:top w:val="single" w:sz="4" w:space="0" w:color="auto"/>
              <w:left w:val="single" w:sz="4" w:space="0" w:color="auto"/>
              <w:bottom w:val="single" w:sz="4" w:space="0" w:color="auto"/>
              <w:right w:val="single" w:sz="4" w:space="0" w:color="auto"/>
            </w:tcBorders>
          </w:tcPr>
          <w:p w:rsidR="00404448" w:rsidRPr="00062DCD" w:rsidRDefault="00404448" w:rsidP="00404448">
            <w:pPr>
              <w:spacing w:after="0"/>
              <w:rPr>
                <w:sz w:val="22"/>
              </w:rPr>
            </w:pPr>
            <w:r>
              <w:rPr>
                <w:sz w:val="22"/>
              </w:rPr>
              <w:t>Unique dark measurements for calibration and Artifact removal (</w:t>
            </w:r>
            <w:r w:rsidR="00E607E6">
              <w:rPr>
                <w:sz w:val="22"/>
              </w:rPr>
              <w:t>§</w:t>
            </w:r>
            <w:r w:rsidR="004C78B9">
              <w:rPr>
                <w:sz w:val="22"/>
              </w:rPr>
              <w:fldChar w:fldCharType="begin"/>
            </w:r>
            <w:r>
              <w:rPr>
                <w:sz w:val="22"/>
              </w:rPr>
              <w:instrText xml:space="preserve"> REF _Ref201488538 \r \h </w:instrText>
            </w:r>
            <w:r w:rsidR="002559BD" w:rsidRPr="004C78B9">
              <w:rPr>
                <w:sz w:val="22"/>
              </w:rPr>
            </w:r>
            <w:r w:rsidR="004C78B9">
              <w:rPr>
                <w:sz w:val="22"/>
              </w:rPr>
              <w:fldChar w:fldCharType="separate"/>
            </w:r>
            <w:r w:rsidR="000D2EB4">
              <w:rPr>
                <w:sz w:val="22"/>
              </w:rPr>
              <w:t>5</w:t>
            </w:r>
            <w:r w:rsidR="004C78B9">
              <w:rPr>
                <w:sz w:val="22"/>
              </w:rPr>
              <w:fldChar w:fldCharType="end"/>
            </w:r>
            <w:r>
              <w:rPr>
                <w:sz w:val="22"/>
              </w:rPr>
              <w:t>)</w:t>
            </w:r>
          </w:p>
        </w:tc>
      </w:tr>
      <w:tr w:rsidR="00404448" w:rsidRPr="006C7C82">
        <w:trPr>
          <w:trHeight w:val="320"/>
        </w:trPr>
        <w:tc>
          <w:tcPr>
            <w:tcW w:w="1981" w:type="dxa"/>
            <w:tcBorders>
              <w:top w:val="single" w:sz="4" w:space="0" w:color="auto"/>
              <w:left w:val="single" w:sz="4" w:space="0" w:color="auto"/>
              <w:bottom w:val="single" w:sz="4" w:space="0" w:color="auto"/>
              <w:right w:val="single" w:sz="4" w:space="0" w:color="auto"/>
            </w:tcBorders>
            <w:shd w:val="clear" w:color="auto" w:fill="auto"/>
            <w:vAlign w:val="bottom"/>
          </w:tcPr>
          <w:p w:rsidR="00404448" w:rsidRPr="00062DCD" w:rsidRDefault="00404448" w:rsidP="00404448">
            <w:pPr>
              <w:spacing w:after="0"/>
              <w:rPr>
                <w:rFonts w:ascii="Courier" w:hAnsi="Courier"/>
              </w:rPr>
            </w:pPr>
            <w:r w:rsidRPr="00062DCD">
              <w:rPr>
                <w:rFonts w:ascii="Courier" w:hAnsi="Courier"/>
              </w:rPr>
              <w:t>C-031_EE</w:t>
            </w:r>
          </w:p>
        </w:tc>
        <w:tc>
          <w:tcPr>
            <w:tcW w:w="3159" w:type="dxa"/>
            <w:tcBorders>
              <w:top w:val="single" w:sz="4" w:space="0" w:color="auto"/>
              <w:left w:val="single" w:sz="4" w:space="0" w:color="auto"/>
              <w:bottom w:val="single" w:sz="4" w:space="0" w:color="auto"/>
              <w:right w:val="single" w:sz="4" w:space="0" w:color="auto"/>
            </w:tcBorders>
            <w:shd w:val="clear" w:color="auto" w:fill="auto"/>
            <w:vAlign w:val="bottom"/>
          </w:tcPr>
          <w:p w:rsidR="00404448" w:rsidRPr="00062DCD" w:rsidRDefault="00404448" w:rsidP="00404448">
            <w:pPr>
              <w:spacing w:after="0"/>
              <w:rPr>
                <w:rFonts w:ascii="Courier" w:hAnsi="Courier"/>
              </w:rPr>
            </w:pPr>
            <w:r w:rsidRPr="00062DCD">
              <w:rPr>
                <w:rFonts w:ascii="Courier" w:hAnsi="Courier"/>
              </w:rPr>
              <w:t>Encircled Energy &amp; Focus</w:t>
            </w:r>
          </w:p>
        </w:tc>
        <w:tc>
          <w:tcPr>
            <w:tcW w:w="4338" w:type="dxa"/>
            <w:tcBorders>
              <w:top w:val="single" w:sz="4" w:space="0" w:color="auto"/>
              <w:left w:val="single" w:sz="4" w:space="0" w:color="auto"/>
              <w:bottom w:val="single" w:sz="4" w:space="0" w:color="auto"/>
              <w:right w:val="single" w:sz="4" w:space="0" w:color="auto"/>
            </w:tcBorders>
          </w:tcPr>
          <w:p w:rsidR="00404448" w:rsidRPr="00062DCD" w:rsidRDefault="00404448" w:rsidP="00404448">
            <w:pPr>
              <w:spacing w:after="0"/>
              <w:rPr>
                <w:sz w:val="22"/>
              </w:rPr>
            </w:pPr>
            <w:r w:rsidRPr="00062DCD">
              <w:rPr>
                <w:sz w:val="22"/>
              </w:rPr>
              <w:t>Tight, Symmetric PSF across image</w:t>
            </w:r>
          </w:p>
        </w:tc>
      </w:tr>
      <w:tr w:rsidR="00404448" w:rsidRPr="006C7C82">
        <w:trPr>
          <w:trHeight w:val="320"/>
        </w:trPr>
        <w:tc>
          <w:tcPr>
            <w:tcW w:w="1981" w:type="dxa"/>
            <w:tcBorders>
              <w:top w:val="single" w:sz="4" w:space="0" w:color="auto"/>
              <w:left w:val="single" w:sz="4" w:space="0" w:color="auto"/>
              <w:bottom w:val="single" w:sz="4" w:space="0" w:color="auto"/>
              <w:right w:val="single" w:sz="4" w:space="0" w:color="auto"/>
            </w:tcBorders>
            <w:shd w:val="clear" w:color="auto" w:fill="auto"/>
            <w:vAlign w:val="bottom"/>
          </w:tcPr>
          <w:p w:rsidR="00404448" w:rsidRPr="00062DCD" w:rsidRDefault="00404448" w:rsidP="00404448">
            <w:pPr>
              <w:spacing w:after="0"/>
              <w:rPr>
                <w:rFonts w:ascii="Courier" w:hAnsi="Courier"/>
              </w:rPr>
            </w:pPr>
            <w:r w:rsidRPr="00062DCD">
              <w:rPr>
                <w:rFonts w:ascii="Courier" w:hAnsi="Courier"/>
              </w:rPr>
              <w:t>C-032_FPG</w:t>
            </w:r>
          </w:p>
        </w:tc>
        <w:tc>
          <w:tcPr>
            <w:tcW w:w="3159" w:type="dxa"/>
            <w:tcBorders>
              <w:top w:val="single" w:sz="4" w:space="0" w:color="auto"/>
              <w:left w:val="single" w:sz="4" w:space="0" w:color="auto"/>
              <w:bottom w:val="single" w:sz="4" w:space="0" w:color="auto"/>
              <w:right w:val="single" w:sz="4" w:space="0" w:color="auto"/>
            </w:tcBorders>
            <w:shd w:val="clear" w:color="auto" w:fill="auto"/>
            <w:vAlign w:val="bottom"/>
          </w:tcPr>
          <w:p w:rsidR="00404448" w:rsidRPr="00062DCD" w:rsidRDefault="00404448" w:rsidP="00404448">
            <w:pPr>
              <w:spacing w:after="0"/>
              <w:rPr>
                <w:rFonts w:ascii="Courier" w:hAnsi="Courier"/>
              </w:rPr>
            </w:pPr>
            <w:r w:rsidRPr="00062DCD">
              <w:rPr>
                <w:rFonts w:ascii="Courier" w:hAnsi="Courier"/>
              </w:rPr>
              <w:t>Focal Plane Geometry</w:t>
            </w:r>
          </w:p>
        </w:tc>
        <w:tc>
          <w:tcPr>
            <w:tcW w:w="4338" w:type="dxa"/>
            <w:tcBorders>
              <w:top w:val="single" w:sz="4" w:space="0" w:color="auto"/>
              <w:left w:val="single" w:sz="4" w:space="0" w:color="auto"/>
              <w:bottom w:val="single" w:sz="4" w:space="0" w:color="auto"/>
              <w:right w:val="single" w:sz="4" w:space="0" w:color="auto"/>
            </w:tcBorders>
          </w:tcPr>
          <w:p w:rsidR="00404448" w:rsidRPr="00062DCD" w:rsidRDefault="00404448" w:rsidP="00404448">
            <w:pPr>
              <w:spacing w:after="0"/>
              <w:rPr>
                <w:sz w:val="22"/>
              </w:rPr>
            </w:pPr>
            <w:r w:rsidRPr="00062DCD">
              <w:rPr>
                <w:sz w:val="22"/>
              </w:rPr>
              <w:t>Precise RA/DEC to pixel location conversion</w:t>
            </w:r>
            <w:r>
              <w:rPr>
                <w:sz w:val="22"/>
              </w:rPr>
              <w:t>, to better than 0.1 pixels</w:t>
            </w:r>
          </w:p>
        </w:tc>
      </w:tr>
      <w:tr w:rsidR="00404448" w:rsidRPr="006C7C82">
        <w:trPr>
          <w:trHeight w:val="320"/>
        </w:trPr>
        <w:tc>
          <w:tcPr>
            <w:tcW w:w="1981" w:type="dxa"/>
            <w:tcBorders>
              <w:top w:val="single" w:sz="4" w:space="0" w:color="auto"/>
              <w:left w:val="single" w:sz="4" w:space="0" w:color="auto"/>
              <w:bottom w:val="single" w:sz="4" w:space="0" w:color="auto"/>
              <w:right w:val="single" w:sz="4" w:space="0" w:color="auto"/>
            </w:tcBorders>
            <w:shd w:val="clear" w:color="auto" w:fill="auto"/>
            <w:vAlign w:val="bottom"/>
          </w:tcPr>
          <w:p w:rsidR="00404448" w:rsidRPr="00062DCD" w:rsidRDefault="00404448" w:rsidP="00404448">
            <w:pPr>
              <w:spacing w:after="0"/>
              <w:rPr>
                <w:rFonts w:ascii="Courier" w:hAnsi="Courier"/>
              </w:rPr>
            </w:pPr>
            <w:r w:rsidRPr="00062DCD">
              <w:rPr>
                <w:rFonts w:ascii="Courier" w:hAnsi="Courier"/>
              </w:rPr>
              <w:t>C-033_FL</w:t>
            </w:r>
          </w:p>
        </w:tc>
        <w:tc>
          <w:tcPr>
            <w:tcW w:w="3159" w:type="dxa"/>
            <w:tcBorders>
              <w:top w:val="single" w:sz="4" w:space="0" w:color="auto"/>
              <w:left w:val="single" w:sz="4" w:space="0" w:color="auto"/>
              <w:bottom w:val="single" w:sz="4" w:space="0" w:color="auto"/>
              <w:right w:val="single" w:sz="4" w:space="0" w:color="auto"/>
            </w:tcBorders>
            <w:shd w:val="clear" w:color="auto" w:fill="auto"/>
            <w:vAlign w:val="bottom"/>
          </w:tcPr>
          <w:p w:rsidR="00404448" w:rsidRPr="00062DCD" w:rsidRDefault="00404448" w:rsidP="00404448">
            <w:pPr>
              <w:spacing w:after="0"/>
              <w:rPr>
                <w:rFonts w:ascii="Courier" w:hAnsi="Courier"/>
              </w:rPr>
            </w:pPr>
            <w:r w:rsidRPr="00062DCD">
              <w:rPr>
                <w:rFonts w:ascii="Courier" w:hAnsi="Courier"/>
              </w:rPr>
              <w:t>First Light</w:t>
            </w:r>
          </w:p>
        </w:tc>
        <w:tc>
          <w:tcPr>
            <w:tcW w:w="4338" w:type="dxa"/>
            <w:tcBorders>
              <w:top w:val="single" w:sz="4" w:space="0" w:color="auto"/>
              <w:left w:val="single" w:sz="4" w:space="0" w:color="auto"/>
              <w:bottom w:val="single" w:sz="4" w:space="0" w:color="auto"/>
              <w:right w:val="single" w:sz="4" w:space="0" w:color="auto"/>
            </w:tcBorders>
          </w:tcPr>
          <w:p w:rsidR="00404448" w:rsidRPr="00062DCD" w:rsidRDefault="00404448" w:rsidP="00404448">
            <w:pPr>
              <w:spacing w:after="0"/>
              <w:rPr>
                <w:sz w:val="22"/>
              </w:rPr>
            </w:pPr>
            <w:r w:rsidRPr="00062DCD">
              <w:rPr>
                <w:sz w:val="22"/>
              </w:rPr>
              <w:t>Snapshots with low jitter and Cosmic Ray contamination</w:t>
            </w:r>
          </w:p>
        </w:tc>
      </w:tr>
      <w:tr w:rsidR="00404448" w:rsidRPr="006C7C82">
        <w:trPr>
          <w:trHeight w:val="320"/>
        </w:trPr>
        <w:tc>
          <w:tcPr>
            <w:tcW w:w="1981" w:type="dxa"/>
            <w:tcBorders>
              <w:top w:val="single" w:sz="4" w:space="0" w:color="auto"/>
              <w:left w:val="single" w:sz="4" w:space="0" w:color="auto"/>
              <w:bottom w:val="single" w:sz="4" w:space="0" w:color="auto"/>
              <w:right w:val="single" w:sz="4" w:space="0" w:color="auto"/>
            </w:tcBorders>
            <w:shd w:val="clear" w:color="auto" w:fill="auto"/>
            <w:vAlign w:val="bottom"/>
          </w:tcPr>
          <w:p w:rsidR="00404448" w:rsidRPr="00062DCD" w:rsidRDefault="00404448" w:rsidP="00404448">
            <w:pPr>
              <w:spacing w:after="0"/>
              <w:rPr>
                <w:rFonts w:ascii="Courier" w:hAnsi="Courier"/>
              </w:rPr>
            </w:pPr>
            <w:r w:rsidRPr="00062DCD">
              <w:rPr>
                <w:rFonts w:ascii="Courier" w:hAnsi="Courier"/>
              </w:rPr>
              <w:t>C-035_scatt</w:t>
            </w:r>
          </w:p>
        </w:tc>
        <w:tc>
          <w:tcPr>
            <w:tcW w:w="3159" w:type="dxa"/>
            <w:tcBorders>
              <w:top w:val="single" w:sz="4" w:space="0" w:color="auto"/>
              <w:left w:val="single" w:sz="4" w:space="0" w:color="auto"/>
              <w:bottom w:val="single" w:sz="4" w:space="0" w:color="auto"/>
              <w:right w:val="single" w:sz="4" w:space="0" w:color="auto"/>
            </w:tcBorders>
            <w:shd w:val="clear" w:color="auto" w:fill="auto"/>
            <w:vAlign w:val="bottom"/>
          </w:tcPr>
          <w:p w:rsidR="00404448" w:rsidRPr="00062DCD" w:rsidRDefault="00404448" w:rsidP="00404448">
            <w:pPr>
              <w:spacing w:after="0"/>
              <w:rPr>
                <w:rFonts w:ascii="Courier" w:hAnsi="Courier"/>
              </w:rPr>
            </w:pPr>
            <w:r w:rsidRPr="00062DCD">
              <w:rPr>
                <w:rFonts w:ascii="Courier" w:hAnsi="Courier"/>
              </w:rPr>
              <w:t>Scattered Light</w:t>
            </w:r>
          </w:p>
        </w:tc>
        <w:tc>
          <w:tcPr>
            <w:tcW w:w="4338" w:type="dxa"/>
            <w:tcBorders>
              <w:top w:val="single" w:sz="4" w:space="0" w:color="auto"/>
              <w:left w:val="single" w:sz="4" w:space="0" w:color="auto"/>
              <w:bottom w:val="single" w:sz="4" w:space="0" w:color="auto"/>
              <w:right w:val="single" w:sz="4" w:space="0" w:color="auto"/>
            </w:tcBorders>
          </w:tcPr>
          <w:p w:rsidR="00404448" w:rsidRPr="00062DCD" w:rsidRDefault="00E139C3" w:rsidP="00404448">
            <w:pPr>
              <w:spacing w:after="0"/>
              <w:rPr>
                <w:sz w:val="22"/>
              </w:rPr>
            </w:pPr>
            <w:r>
              <w:rPr>
                <w:sz w:val="22"/>
              </w:rPr>
              <w:t>Not used</w:t>
            </w:r>
          </w:p>
        </w:tc>
      </w:tr>
      <w:tr w:rsidR="00404448" w:rsidRPr="006C7C82">
        <w:trPr>
          <w:trHeight w:val="320"/>
        </w:trPr>
        <w:tc>
          <w:tcPr>
            <w:tcW w:w="1981" w:type="dxa"/>
            <w:tcBorders>
              <w:top w:val="single" w:sz="4" w:space="0" w:color="auto"/>
              <w:left w:val="single" w:sz="4" w:space="0" w:color="auto"/>
              <w:bottom w:val="single" w:sz="4" w:space="0" w:color="auto"/>
              <w:right w:val="single" w:sz="4" w:space="0" w:color="auto"/>
            </w:tcBorders>
            <w:shd w:val="clear" w:color="auto" w:fill="auto"/>
            <w:vAlign w:val="bottom"/>
          </w:tcPr>
          <w:p w:rsidR="00404448" w:rsidRPr="00062DCD" w:rsidRDefault="00404448" w:rsidP="00404448">
            <w:pPr>
              <w:spacing w:after="0"/>
              <w:rPr>
                <w:rFonts w:ascii="Courier" w:hAnsi="Courier"/>
              </w:rPr>
            </w:pPr>
            <w:r w:rsidRPr="00062DCD">
              <w:rPr>
                <w:rFonts w:ascii="Courier" w:hAnsi="Courier"/>
              </w:rPr>
              <w:t>C-036_ghost</w:t>
            </w:r>
          </w:p>
        </w:tc>
        <w:tc>
          <w:tcPr>
            <w:tcW w:w="3159" w:type="dxa"/>
            <w:tcBorders>
              <w:top w:val="single" w:sz="4" w:space="0" w:color="auto"/>
              <w:left w:val="single" w:sz="4" w:space="0" w:color="auto"/>
              <w:bottom w:val="single" w:sz="4" w:space="0" w:color="auto"/>
              <w:right w:val="single" w:sz="4" w:space="0" w:color="auto"/>
            </w:tcBorders>
            <w:shd w:val="clear" w:color="auto" w:fill="auto"/>
            <w:vAlign w:val="bottom"/>
          </w:tcPr>
          <w:p w:rsidR="00404448" w:rsidRPr="00062DCD" w:rsidRDefault="00404448" w:rsidP="00404448">
            <w:pPr>
              <w:spacing w:after="0"/>
              <w:rPr>
                <w:rFonts w:ascii="Courier" w:hAnsi="Courier"/>
              </w:rPr>
            </w:pPr>
            <w:r w:rsidRPr="00062DCD">
              <w:rPr>
                <w:rFonts w:ascii="Courier" w:hAnsi="Courier"/>
              </w:rPr>
              <w:t>Ghosting</w:t>
            </w:r>
          </w:p>
        </w:tc>
        <w:tc>
          <w:tcPr>
            <w:tcW w:w="4338" w:type="dxa"/>
            <w:tcBorders>
              <w:top w:val="single" w:sz="4" w:space="0" w:color="auto"/>
              <w:left w:val="single" w:sz="4" w:space="0" w:color="auto"/>
              <w:bottom w:val="single" w:sz="4" w:space="0" w:color="auto"/>
              <w:right w:val="single" w:sz="4" w:space="0" w:color="auto"/>
            </w:tcBorders>
          </w:tcPr>
          <w:p w:rsidR="00404448" w:rsidRPr="00062DCD" w:rsidRDefault="00E139C3" w:rsidP="00404448">
            <w:pPr>
              <w:spacing w:after="0"/>
              <w:rPr>
                <w:sz w:val="22"/>
              </w:rPr>
            </w:pPr>
            <w:r>
              <w:rPr>
                <w:sz w:val="22"/>
              </w:rPr>
              <w:t>Not used</w:t>
            </w:r>
          </w:p>
        </w:tc>
      </w:tr>
      <w:tr w:rsidR="00404448" w:rsidRPr="006C7C82">
        <w:trPr>
          <w:trHeight w:val="320"/>
        </w:trPr>
        <w:tc>
          <w:tcPr>
            <w:tcW w:w="1981" w:type="dxa"/>
            <w:tcBorders>
              <w:top w:val="single" w:sz="4" w:space="0" w:color="auto"/>
              <w:left w:val="single" w:sz="4" w:space="0" w:color="auto"/>
              <w:bottom w:val="single" w:sz="4" w:space="0" w:color="auto"/>
              <w:right w:val="single" w:sz="4" w:space="0" w:color="auto"/>
            </w:tcBorders>
            <w:shd w:val="clear" w:color="auto" w:fill="auto"/>
            <w:vAlign w:val="bottom"/>
          </w:tcPr>
          <w:p w:rsidR="00404448" w:rsidRPr="00062DCD" w:rsidRDefault="00404448" w:rsidP="00404448">
            <w:pPr>
              <w:spacing w:after="0"/>
              <w:rPr>
                <w:rFonts w:ascii="Courier" w:hAnsi="Courier"/>
              </w:rPr>
            </w:pPr>
            <w:r w:rsidRPr="00062DCD">
              <w:rPr>
                <w:rFonts w:ascii="Courier" w:hAnsi="Courier"/>
              </w:rPr>
              <w:t>C-039_PRF</w:t>
            </w:r>
          </w:p>
        </w:tc>
        <w:tc>
          <w:tcPr>
            <w:tcW w:w="3159" w:type="dxa"/>
            <w:tcBorders>
              <w:top w:val="single" w:sz="4" w:space="0" w:color="auto"/>
              <w:left w:val="single" w:sz="4" w:space="0" w:color="auto"/>
              <w:bottom w:val="single" w:sz="4" w:space="0" w:color="auto"/>
              <w:right w:val="single" w:sz="4" w:space="0" w:color="auto"/>
            </w:tcBorders>
            <w:shd w:val="clear" w:color="auto" w:fill="auto"/>
            <w:vAlign w:val="bottom"/>
          </w:tcPr>
          <w:p w:rsidR="00404448" w:rsidRPr="00062DCD" w:rsidRDefault="00404448" w:rsidP="00404448">
            <w:pPr>
              <w:spacing w:after="0"/>
              <w:rPr>
                <w:rFonts w:ascii="Courier" w:hAnsi="Courier"/>
              </w:rPr>
            </w:pPr>
            <w:r w:rsidRPr="00062DCD">
              <w:rPr>
                <w:rFonts w:ascii="Courier" w:hAnsi="Courier"/>
              </w:rPr>
              <w:t>Pixel Response Function</w:t>
            </w:r>
          </w:p>
        </w:tc>
        <w:tc>
          <w:tcPr>
            <w:tcW w:w="4338" w:type="dxa"/>
            <w:tcBorders>
              <w:top w:val="single" w:sz="4" w:space="0" w:color="auto"/>
              <w:left w:val="single" w:sz="4" w:space="0" w:color="auto"/>
              <w:bottom w:val="single" w:sz="4" w:space="0" w:color="auto"/>
              <w:right w:val="single" w:sz="4" w:space="0" w:color="auto"/>
            </w:tcBorders>
          </w:tcPr>
          <w:p w:rsidR="00404448" w:rsidRPr="00062DCD" w:rsidRDefault="00404448" w:rsidP="00404448">
            <w:pPr>
              <w:spacing w:after="0"/>
              <w:rPr>
                <w:sz w:val="22"/>
              </w:rPr>
            </w:pPr>
            <w:r w:rsidRPr="00062DCD">
              <w:rPr>
                <w:sz w:val="22"/>
              </w:rPr>
              <w:t>Precise definition of Science target apertures</w:t>
            </w:r>
          </w:p>
        </w:tc>
      </w:tr>
      <w:tr w:rsidR="00404448" w:rsidRPr="006C7C82">
        <w:trPr>
          <w:trHeight w:val="320"/>
        </w:trPr>
        <w:tc>
          <w:tcPr>
            <w:tcW w:w="1981" w:type="dxa"/>
            <w:tcBorders>
              <w:top w:val="single" w:sz="4" w:space="0" w:color="auto"/>
              <w:left w:val="single" w:sz="4" w:space="0" w:color="auto"/>
              <w:bottom w:val="single" w:sz="4" w:space="0" w:color="auto"/>
              <w:right w:val="single" w:sz="4" w:space="0" w:color="auto"/>
            </w:tcBorders>
            <w:shd w:val="clear" w:color="auto" w:fill="auto"/>
            <w:vAlign w:val="bottom"/>
          </w:tcPr>
          <w:p w:rsidR="00404448" w:rsidRPr="00062DCD" w:rsidRDefault="00404448" w:rsidP="00404448">
            <w:pPr>
              <w:spacing w:after="0"/>
              <w:rPr>
                <w:rFonts w:ascii="Courier" w:hAnsi="Courier"/>
              </w:rPr>
            </w:pPr>
            <w:r w:rsidRPr="00062DCD">
              <w:rPr>
                <w:rFonts w:ascii="Courier" w:hAnsi="Courier"/>
              </w:rPr>
              <w:t>C-040_GL</w:t>
            </w:r>
          </w:p>
        </w:tc>
        <w:tc>
          <w:tcPr>
            <w:tcW w:w="3159" w:type="dxa"/>
            <w:tcBorders>
              <w:top w:val="single" w:sz="4" w:space="0" w:color="auto"/>
              <w:left w:val="single" w:sz="4" w:space="0" w:color="auto"/>
              <w:bottom w:val="single" w:sz="4" w:space="0" w:color="auto"/>
              <w:right w:val="single" w:sz="4" w:space="0" w:color="auto"/>
            </w:tcBorders>
            <w:shd w:val="clear" w:color="auto" w:fill="auto"/>
            <w:vAlign w:val="bottom"/>
          </w:tcPr>
          <w:p w:rsidR="00404448" w:rsidRPr="00062DCD" w:rsidRDefault="00404448" w:rsidP="00404448">
            <w:pPr>
              <w:spacing w:after="0"/>
              <w:rPr>
                <w:rFonts w:ascii="Courier" w:hAnsi="Courier"/>
              </w:rPr>
            </w:pPr>
            <w:r w:rsidRPr="00062DCD">
              <w:rPr>
                <w:rFonts w:ascii="Courier" w:hAnsi="Courier"/>
              </w:rPr>
              <w:t>Gain and Linearity</w:t>
            </w:r>
          </w:p>
        </w:tc>
        <w:tc>
          <w:tcPr>
            <w:tcW w:w="4338" w:type="dxa"/>
            <w:tcBorders>
              <w:top w:val="single" w:sz="4" w:space="0" w:color="auto"/>
              <w:left w:val="single" w:sz="4" w:space="0" w:color="auto"/>
              <w:bottom w:val="single" w:sz="4" w:space="0" w:color="auto"/>
              <w:right w:val="single" w:sz="4" w:space="0" w:color="auto"/>
            </w:tcBorders>
          </w:tcPr>
          <w:p w:rsidR="00404448" w:rsidRPr="00062DCD" w:rsidRDefault="00E139C3" w:rsidP="00404448">
            <w:pPr>
              <w:spacing w:after="0"/>
              <w:rPr>
                <w:sz w:val="22"/>
              </w:rPr>
            </w:pPr>
            <w:r>
              <w:rPr>
                <w:sz w:val="22"/>
              </w:rPr>
              <w:t>Not used</w:t>
            </w:r>
          </w:p>
        </w:tc>
      </w:tr>
      <w:tr w:rsidR="00404448" w:rsidRPr="006C7C82">
        <w:trPr>
          <w:trHeight w:val="320"/>
        </w:trPr>
        <w:tc>
          <w:tcPr>
            <w:tcW w:w="1981" w:type="dxa"/>
            <w:tcBorders>
              <w:top w:val="single" w:sz="4" w:space="0" w:color="auto"/>
              <w:left w:val="single" w:sz="4" w:space="0" w:color="auto"/>
              <w:bottom w:val="single" w:sz="4" w:space="0" w:color="auto"/>
              <w:right w:val="single" w:sz="4" w:space="0" w:color="auto"/>
            </w:tcBorders>
            <w:shd w:val="clear" w:color="auto" w:fill="auto"/>
            <w:vAlign w:val="bottom"/>
          </w:tcPr>
          <w:p w:rsidR="00404448" w:rsidRPr="00062DCD" w:rsidRDefault="00404448" w:rsidP="00404448">
            <w:pPr>
              <w:spacing w:after="0"/>
              <w:rPr>
                <w:rFonts w:ascii="Courier" w:hAnsi="Courier"/>
              </w:rPr>
            </w:pPr>
            <w:r w:rsidRPr="00062DCD">
              <w:rPr>
                <w:rFonts w:ascii="Courier" w:hAnsi="Courier"/>
              </w:rPr>
              <w:t>C-043_CDPP</w:t>
            </w:r>
          </w:p>
        </w:tc>
        <w:tc>
          <w:tcPr>
            <w:tcW w:w="3159" w:type="dxa"/>
            <w:tcBorders>
              <w:top w:val="single" w:sz="4" w:space="0" w:color="auto"/>
              <w:left w:val="single" w:sz="4" w:space="0" w:color="auto"/>
              <w:bottom w:val="single" w:sz="4" w:space="0" w:color="auto"/>
              <w:right w:val="single" w:sz="4" w:space="0" w:color="auto"/>
            </w:tcBorders>
            <w:shd w:val="clear" w:color="auto" w:fill="auto"/>
            <w:vAlign w:val="bottom"/>
          </w:tcPr>
          <w:p w:rsidR="00404448" w:rsidRPr="00062DCD" w:rsidRDefault="00404448" w:rsidP="00404448">
            <w:pPr>
              <w:spacing w:after="0"/>
              <w:rPr>
                <w:rFonts w:ascii="Courier" w:hAnsi="Courier"/>
              </w:rPr>
            </w:pPr>
            <w:r w:rsidRPr="00062DCD">
              <w:rPr>
                <w:rFonts w:ascii="Courier" w:hAnsi="Courier"/>
              </w:rPr>
              <w:t>Preliminary CDPP</w:t>
            </w:r>
          </w:p>
        </w:tc>
        <w:tc>
          <w:tcPr>
            <w:tcW w:w="4338" w:type="dxa"/>
            <w:tcBorders>
              <w:top w:val="single" w:sz="4" w:space="0" w:color="auto"/>
              <w:left w:val="single" w:sz="4" w:space="0" w:color="auto"/>
              <w:bottom w:val="single" w:sz="4" w:space="0" w:color="auto"/>
              <w:right w:val="single" w:sz="4" w:space="0" w:color="auto"/>
            </w:tcBorders>
          </w:tcPr>
          <w:p w:rsidR="00404448" w:rsidRPr="00062DCD" w:rsidRDefault="00404448" w:rsidP="00404448">
            <w:pPr>
              <w:spacing w:after="0"/>
              <w:rPr>
                <w:sz w:val="22"/>
              </w:rPr>
            </w:pPr>
            <w:r w:rsidRPr="00062DCD">
              <w:rPr>
                <w:sz w:val="22"/>
              </w:rPr>
              <w:t xml:space="preserve">Gallery of </w:t>
            </w:r>
            <w:r>
              <w:rPr>
                <w:sz w:val="22"/>
              </w:rPr>
              <w:t xml:space="preserve">53,000 </w:t>
            </w:r>
            <w:r w:rsidRPr="00062DCD">
              <w:rPr>
                <w:sz w:val="22"/>
              </w:rPr>
              <w:t>light curves</w:t>
            </w:r>
            <w:r w:rsidR="00E50B30">
              <w:rPr>
                <w:sz w:val="22"/>
              </w:rPr>
              <w:t xml:space="preserve">, ten days in length; </w:t>
            </w:r>
            <w:r>
              <w:rPr>
                <w:sz w:val="22"/>
              </w:rPr>
              <w:t>early measure of Photometer performance</w:t>
            </w:r>
            <w:r w:rsidR="00E50B30">
              <w:rPr>
                <w:sz w:val="22"/>
              </w:rPr>
              <w:t>; now known as “Quarter 0”</w:t>
            </w:r>
          </w:p>
        </w:tc>
      </w:tr>
      <w:tr w:rsidR="00404448" w:rsidRPr="006C7C82">
        <w:trPr>
          <w:trHeight w:val="320"/>
        </w:trPr>
        <w:tc>
          <w:tcPr>
            <w:tcW w:w="1981" w:type="dxa"/>
            <w:tcBorders>
              <w:top w:val="single" w:sz="4" w:space="0" w:color="auto"/>
              <w:left w:val="single" w:sz="4" w:space="0" w:color="auto"/>
              <w:bottom w:val="single" w:sz="4" w:space="0" w:color="auto"/>
              <w:right w:val="single" w:sz="4" w:space="0" w:color="auto"/>
            </w:tcBorders>
            <w:shd w:val="clear" w:color="auto" w:fill="auto"/>
            <w:vAlign w:val="bottom"/>
          </w:tcPr>
          <w:p w:rsidR="00404448" w:rsidRPr="00062DCD" w:rsidRDefault="00404448" w:rsidP="00404448">
            <w:pPr>
              <w:spacing w:after="0"/>
              <w:rPr>
                <w:rFonts w:ascii="Courier" w:hAnsi="Courier"/>
              </w:rPr>
            </w:pPr>
            <w:r w:rsidRPr="00062DCD">
              <w:rPr>
                <w:rFonts w:ascii="Courier" w:hAnsi="Courier"/>
              </w:rPr>
              <w:t>C-053_post</w:t>
            </w:r>
          </w:p>
        </w:tc>
        <w:tc>
          <w:tcPr>
            <w:tcW w:w="3159" w:type="dxa"/>
            <w:tcBorders>
              <w:top w:val="single" w:sz="4" w:space="0" w:color="auto"/>
              <w:left w:val="single" w:sz="4" w:space="0" w:color="auto"/>
              <w:bottom w:val="single" w:sz="4" w:space="0" w:color="auto"/>
              <w:right w:val="single" w:sz="4" w:space="0" w:color="auto"/>
            </w:tcBorders>
            <w:shd w:val="clear" w:color="auto" w:fill="auto"/>
            <w:vAlign w:val="bottom"/>
          </w:tcPr>
          <w:p w:rsidR="00404448" w:rsidRPr="00062DCD" w:rsidRDefault="00404448" w:rsidP="00404448">
            <w:pPr>
              <w:spacing w:after="0"/>
              <w:rPr>
                <w:rFonts w:ascii="Courier" w:hAnsi="Courier"/>
              </w:rPr>
            </w:pPr>
            <w:r w:rsidRPr="00062DCD">
              <w:rPr>
                <w:rFonts w:ascii="Courier" w:hAnsi="Courier"/>
              </w:rPr>
              <w:t>Post-DCE data collection</w:t>
            </w:r>
          </w:p>
        </w:tc>
        <w:tc>
          <w:tcPr>
            <w:tcW w:w="4338" w:type="dxa"/>
            <w:tcBorders>
              <w:top w:val="single" w:sz="4" w:space="0" w:color="auto"/>
              <w:left w:val="single" w:sz="4" w:space="0" w:color="auto"/>
              <w:bottom w:val="single" w:sz="4" w:space="0" w:color="auto"/>
              <w:right w:val="single" w:sz="4" w:space="0" w:color="auto"/>
            </w:tcBorders>
          </w:tcPr>
          <w:p w:rsidR="00404448" w:rsidRPr="00062DCD" w:rsidRDefault="00961366" w:rsidP="00404448">
            <w:pPr>
              <w:spacing w:after="0"/>
              <w:rPr>
                <w:sz w:val="22"/>
              </w:rPr>
            </w:pPr>
            <w:r>
              <w:rPr>
                <w:sz w:val="22"/>
              </w:rPr>
              <w:t>Not used</w:t>
            </w:r>
          </w:p>
        </w:tc>
      </w:tr>
      <w:tr w:rsidR="00404448" w:rsidRPr="006C7C82">
        <w:trPr>
          <w:trHeight w:val="320"/>
        </w:trPr>
        <w:tc>
          <w:tcPr>
            <w:tcW w:w="1981" w:type="dxa"/>
            <w:tcBorders>
              <w:top w:val="single" w:sz="4" w:space="0" w:color="auto"/>
              <w:left w:val="single" w:sz="4" w:space="0" w:color="auto"/>
              <w:bottom w:val="single" w:sz="4" w:space="0" w:color="auto"/>
              <w:right w:val="single" w:sz="4" w:space="0" w:color="auto"/>
            </w:tcBorders>
            <w:shd w:val="clear" w:color="auto" w:fill="auto"/>
            <w:vAlign w:val="bottom"/>
          </w:tcPr>
          <w:p w:rsidR="00404448" w:rsidRPr="00062DCD" w:rsidRDefault="00404448" w:rsidP="00404448">
            <w:pPr>
              <w:spacing w:after="0"/>
              <w:rPr>
                <w:rFonts w:ascii="Courier" w:hAnsi="Courier"/>
              </w:rPr>
            </w:pPr>
            <w:r>
              <w:rPr>
                <w:rFonts w:ascii="Courier" w:hAnsi="Courier"/>
              </w:rPr>
              <w:t>KACR-451</w:t>
            </w:r>
          </w:p>
        </w:tc>
        <w:tc>
          <w:tcPr>
            <w:tcW w:w="3159" w:type="dxa"/>
            <w:tcBorders>
              <w:top w:val="single" w:sz="4" w:space="0" w:color="auto"/>
              <w:left w:val="single" w:sz="4" w:space="0" w:color="auto"/>
              <w:bottom w:val="single" w:sz="4" w:space="0" w:color="auto"/>
              <w:right w:val="single" w:sz="4" w:space="0" w:color="auto"/>
            </w:tcBorders>
            <w:shd w:val="clear" w:color="auto" w:fill="auto"/>
            <w:vAlign w:val="bottom"/>
          </w:tcPr>
          <w:p w:rsidR="00404448" w:rsidRPr="00062DCD" w:rsidRDefault="00404448" w:rsidP="00404448">
            <w:pPr>
              <w:spacing w:after="0"/>
              <w:rPr>
                <w:rFonts w:ascii="Courier" w:hAnsi="Courier"/>
              </w:rPr>
            </w:pPr>
            <w:r>
              <w:rPr>
                <w:rFonts w:ascii="Courier" w:hAnsi="Courier"/>
              </w:rPr>
              <w:t>FFIs collected at Science operating temperature, pre-focus</w:t>
            </w:r>
          </w:p>
        </w:tc>
        <w:tc>
          <w:tcPr>
            <w:tcW w:w="4338" w:type="dxa"/>
            <w:tcBorders>
              <w:top w:val="single" w:sz="4" w:space="0" w:color="auto"/>
              <w:left w:val="single" w:sz="4" w:space="0" w:color="auto"/>
              <w:bottom w:val="single" w:sz="4" w:space="0" w:color="auto"/>
              <w:right w:val="single" w:sz="4" w:space="0" w:color="auto"/>
            </w:tcBorders>
          </w:tcPr>
          <w:p w:rsidR="00404448" w:rsidRPr="00062DCD" w:rsidRDefault="00404448" w:rsidP="00404448">
            <w:pPr>
              <w:spacing w:after="0"/>
              <w:rPr>
                <w:sz w:val="22"/>
              </w:rPr>
            </w:pPr>
            <w:r>
              <w:rPr>
                <w:sz w:val="22"/>
              </w:rPr>
              <w:t>Initial look at Artifacts (</w:t>
            </w:r>
            <w:r w:rsidR="00E607E6">
              <w:rPr>
                <w:sz w:val="22"/>
              </w:rPr>
              <w:t>§</w:t>
            </w:r>
            <w:r w:rsidR="004C78B9">
              <w:rPr>
                <w:sz w:val="22"/>
              </w:rPr>
              <w:fldChar w:fldCharType="begin"/>
            </w:r>
            <w:r>
              <w:rPr>
                <w:sz w:val="22"/>
              </w:rPr>
              <w:instrText xml:space="preserve"> REF _Ref201488538 \r \h </w:instrText>
            </w:r>
            <w:r w:rsidR="002559BD" w:rsidRPr="004C78B9">
              <w:rPr>
                <w:sz w:val="22"/>
              </w:rPr>
            </w:r>
            <w:r w:rsidR="004C78B9">
              <w:rPr>
                <w:sz w:val="22"/>
              </w:rPr>
              <w:fldChar w:fldCharType="separate"/>
            </w:r>
            <w:r w:rsidR="000D2EB4">
              <w:rPr>
                <w:sz w:val="22"/>
              </w:rPr>
              <w:t>5</w:t>
            </w:r>
            <w:r w:rsidR="004C78B9">
              <w:rPr>
                <w:sz w:val="22"/>
              </w:rPr>
              <w:fldChar w:fldCharType="end"/>
            </w:r>
            <w:r>
              <w:rPr>
                <w:sz w:val="22"/>
              </w:rPr>
              <w:t>) at Science operating temperature, with stars</w:t>
            </w:r>
          </w:p>
        </w:tc>
      </w:tr>
      <w:tr w:rsidR="00404448" w:rsidRPr="006C7C82">
        <w:trPr>
          <w:trHeight w:val="320"/>
        </w:trPr>
        <w:tc>
          <w:tcPr>
            <w:tcW w:w="1981" w:type="dxa"/>
            <w:tcBorders>
              <w:top w:val="single" w:sz="4" w:space="0" w:color="auto"/>
              <w:left w:val="single" w:sz="4" w:space="0" w:color="auto"/>
              <w:bottom w:val="single" w:sz="4" w:space="0" w:color="auto"/>
              <w:right w:val="single" w:sz="4" w:space="0" w:color="auto"/>
            </w:tcBorders>
            <w:shd w:val="clear" w:color="auto" w:fill="auto"/>
            <w:vAlign w:val="bottom"/>
          </w:tcPr>
          <w:p w:rsidR="00404448" w:rsidRPr="00062DCD" w:rsidRDefault="00404448" w:rsidP="00404448">
            <w:pPr>
              <w:spacing w:after="0"/>
              <w:rPr>
                <w:rFonts w:ascii="Courier" w:hAnsi="Courier"/>
              </w:rPr>
            </w:pPr>
            <w:r>
              <w:rPr>
                <w:rFonts w:ascii="Courier" w:hAnsi="Courier"/>
              </w:rPr>
              <w:t>KACR-469</w:t>
            </w:r>
          </w:p>
        </w:tc>
        <w:tc>
          <w:tcPr>
            <w:tcW w:w="3159" w:type="dxa"/>
            <w:tcBorders>
              <w:top w:val="single" w:sz="4" w:space="0" w:color="auto"/>
              <w:left w:val="single" w:sz="4" w:space="0" w:color="auto"/>
              <w:bottom w:val="single" w:sz="4" w:space="0" w:color="auto"/>
              <w:right w:val="single" w:sz="4" w:space="0" w:color="auto"/>
            </w:tcBorders>
            <w:shd w:val="clear" w:color="auto" w:fill="auto"/>
            <w:vAlign w:val="bottom"/>
          </w:tcPr>
          <w:p w:rsidR="00404448" w:rsidRPr="00062DCD" w:rsidRDefault="00404448" w:rsidP="00404448">
            <w:pPr>
              <w:spacing w:after="0"/>
              <w:rPr>
                <w:rFonts w:ascii="Courier" w:hAnsi="Courier"/>
              </w:rPr>
            </w:pPr>
            <w:r>
              <w:rPr>
                <w:rFonts w:ascii="Courier" w:hAnsi="Courier"/>
              </w:rPr>
              <w:t>FFIs collected under conditions of excellent thermal and pointing stability, post-focus</w:t>
            </w:r>
          </w:p>
        </w:tc>
        <w:tc>
          <w:tcPr>
            <w:tcW w:w="4338" w:type="dxa"/>
            <w:tcBorders>
              <w:top w:val="single" w:sz="4" w:space="0" w:color="auto"/>
              <w:left w:val="single" w:sz="4" w:space="0" w:color="auto"/>
              <w:bottom w:val="single" w:sz="4" w:space="0" w:color="auto"/>
              <w:right w:val="single" w:sz="4" w:space="0" w:color="auto"/>
            </w:tcBorders>
          </w:tcPr>
          <w:p w:rsidR="00404448" w:rsidRPr="00062DCD" w:rsidRDefault="00404448" w:rsidP="00404448">
            <w:pPr>
              <w:spacing w:after="0"/>
              <w:rPr>
                <w:sz w:val="22"/>
              </w:rPr>
            </w:pPr>
            <w:r>
              <w:rPr>
                <w:sz w:val="22"/>
              </w:rPr>
              <w:t>“Golden” FFIs for calibration and reference</w:t>
            </w:r>
          </w:p>
        </w:tc>
      </w:tr>
    </w:tbl>
    <w:p w:rsidR="00404448" w:rsidRDefault="00404448" w:rsidP="00404448"/>
    <w:p w:rsidR="00404448" w:rsidRPr="00A95097" w:rsidRDefault="00404448" w:rsidP="00404448">
      <w:r>
        <w:t>C-018_CR and C-019_BD occurred before DCE, the other activities after DCE.</w:t>
      </w:r>
    </w:p>
    <w:p w:rsidR="00404448" w:rsidRPr="00394F88" w:rsidRDefault="00404448" w:rsidP="00404448">
      <w:pPr>
        <w:pStyle w:val="Heading2"/>
        <w:rPr>
          <w:sz w:val="22"/>
        </w:rPr>
      </w:pPr>
      <w:bookmarkStart w:id="8" w:name="_Toc322942133"/>
      <w:r w:rsidRPr="00394F88">
        <w:rPr>
          <w:sz w:val="22"/>
        </w:rPr>
        <w:t>Celestial Field of View</w:t>
      </w:r>
      <w:bookmarkEnd w:id="8"/>
    </w:p>
    <w:p w:rsidR="00404448" w:rsidRDefault="000518AB" w:rsidP="00404448">
      <w:pPr>
        <w:keepNext/>
      </w:pPr>
      <w:r>
        <w:rPr>
          <w:noProof/>
        </w:rPr>
        <w:drawing>
          <wp:inline distT="0" distB="0" distL="0" distR="0">
            <wp:extent cx="5514975" cy="6875780"/>
            <wp:effectExtent l="2540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srcRect/>
                    <a:stretch>
                      <a:fillRect/>
                    </a:stretch>
                  </pic:blipFill>
                  <pic:spPr bwMode="auto">
                    <a:xfrm>
                      <a:off x="0" y="0"/>
                      <a:ext cx="5514975" cy="6875780"/>
                    </a:xfrm>
                    <a:prstGeom prst="rect">
                      <a:avLst/>
                    </a:prstGeom>
                    <a:noFill/>
                    <a:ln w="9525">
                      <a:noFill/>
                      <a:miter lim="800000"/>
                      <a:headEnd/>
                      <a:tailEnd/>
                    </a:ln>
                  </pic:spPr>
                </pic:pic>
              </a:graphicData>
            </a:graphic>
          </wp:inline>
        </w:drawing>
      </w:r>
    </w:p>
    <w:p w:rsidR="00404448" w:rsidRDefault="00404448" w:rsidP="00404448">
      <w:pPr>
        <w:pStyle w:val="Caption"/>
      </w:pPr>
      <w:bookmarkStart w:id="9" w:name="_Ref205879788"/>
      <w:bookmarkStart w:id="10" w:name="_Toc322942231"/>
      <w:r>
        <w:t xml:space="preserve">Figure </w:t>
      </w:r>
      <w:fldSimple w:instr=" SEQ Figure \* ARABIC ">
        <w:r w:rsidR="000D2EB4">
          <w:rPr>
            <w:noProof/>
          </w:rPr>
          <w:t>1</w:t>
        </w:r>
      </w:fldSimple>
      <w:bookmarkEnd w:id="9"/>
      <w:r>
        <w:t xml:space="preserve">:  </w:t>
      </w:r>
      <w:r w:rsidR="004A3FBE" w:rsidRPr="004A3FBE">
        <w:rPr>
          <w:i/>
        </w:rPr>
        <w:t>Kepler</w:t>
      </w:r>
      <w:r>
        <w:t xml:space="preserve"> FOV.  Squares show outlines of individual CCD modules projected on the sky.  </w:t>
      </w:r>
      <w:r w:rsidR="004A3FBE" w:rsidRPr="004A3FBE">
        <w:rPr>
          <w:i/>
        </w:rPr>
        <w:t>Kepler</w:t>
      </w:r>
      <w:r>
        <w:t xml:space="preserve"> will stare at this same patch of sky for the duration of the mission, except when downlinking data through the HGA every 31 days</w:t>
      </w:r>
      <w:bookmarkEnd w:id="10"/>
    </w:p>
    <w:p w:rsidR="00404448" w:rsidRPr="00FD1921" w:rsidRDefault="00404448" w:rsidP="00404448">
      <w:r>
        <w:t xml:space="preserve">The boresight RA is 19h 22m 40s and the DEC is +44d 30m 00s.  </w:t>
      </w:r>
      <w:r w:rsidRPr="00FD1921">
        <w:t xml:space="preserve">The ecliptic longitude </w:t>
      </w:r>
      <w:r>
        <w:t xml:space="preserve">of the FOV center </w:t>
      </w:r>
      <w:r w:rsidRPr="00FD1921">
        <w:t>is 307</w:t>
      </w:r>
      <w:r w:rsidRPr="00FD1921">
        <w:rPr>
          <w:vertAlign w:val="superscript"/>
        </w:rPr>
        <w:t>o</w:t>
      </w:r>
      <w:r w:rsidRPr="00FD1921">
        <w:t>, and ecliptic latitude is 65</w:t>
      </w:r>
      <w:r w:rsidRPr="00FD1921">
        <w:rPr>
          <w:vertAlign w:val="superscript"/>
        </w:rPr>
        <w:t>o</w:t>
      </w:r>
      <w:r w:rsidRPr="00FD1921">
        <w:t>.</w:t>
      </w:r>
      <w:r>
        <w:t xml:space="preserve">  The high ecliptic latitude permits continuous viewing with the sunshade shown in </w:t>
      </w:r>
      <w:r w:rsidR="004C78B9">
        <w:fldChar w:fldCharType="begin"/>
      </w:r>
      <w:r w:rsidR="00C903B6">
        <w:instrText xml:space="preserve"> REF _Ref201502947 \h </w:instrText>
      </w:r>
      <w:r w:rsidR="004C78B9">
        <w:fldChar w:fldCharType="separate"/>
      </w:r>
      <w:r w:rsidR="000D2EB4">
        <w:t xml:space="preserve">Figure </w:t>
      </w:r>
      <w:r w:rsidR="000D2EB4">
        <w:rPr>
          <w:noProof/>
        </w:rPr>
        <w:t>3</w:t>
      </w:r>
      <w:r w:rsidR="004C78B9">
        <w:fldChar w:fldCharType="end"/>
      </w:r>
      <w:r>
        <w:t>.  The galactic longitude LII= 76.3</w:t>
      </w:r>
      <w:r>
        <w:rPr>
          <w:vertAlign w:val="superscript"/>
        </w:rPr>
        <w:t>o</w:t>
      </w:r>
      <w:r w:rsidRPr="00FD1921">
        <w:t xml:space="preserve"> </w:t>
      </w:r>
      <w:r>
        <w:t xml:space="preserve">and the galactic latitude is </w:t>
      </w:r>
      <w:r w:rsidRPr="00FD1921">
        <w:t>BII= 13.</w:t>
      </w:r>
      <w:r>
        <w:t>5</w:t>
      </w:r>
      <w:r>
        <w:rPr>
          <w:vertAlign w:val="superscript"/>
        </w:rPr>
        <w:t>o</w:t>
      </w:r>
      <w:r>
        <w:t>.  The galactic latitude is low enough to have lots of stars, but not so low that many giants at great distances in the galactic plane are in the FOV.</w:t>
      </w:r>
    </w:p>
    <w:p w:rsidR="00404448" w:rsidRPr="00394F88" w:rsidRDefault="00404448" w:rsidP="00404448">
      <w:pPr>
        <w:pStyle w:val="Heading2"/>
        <w:rPr>
          <w:snapToGrid w:val="0"/>
          <w:sz w:val="22"/>
        </w:rPr>
      </w:pPr>
      <w:bookmarkStart w:id="11" w:name="_Toc322942134"/>
      <w:r w:rsidRPr="00394F88">
        <w:rPr>
          <w:snapToGrid w:val="0"/>
          <w:sz w:val="22"/>
        </w:rPr>
        <w:t>Categories of Observing Programs</w:t>
      </w:r>
      <w:bookmarkEnd w:id="11"/>
    </w:p>
    <w:p w:rsidR="00404448" w:rsidRPr="00E40FE7" w:rsidRDefault="00404448" w:rsidP="00404448">
      <w:r>
        <w:t xml:space="preserve">There are three main components of the </w:t>
      </w:r>
      <w:r w:rsidR="004A3FBE" w:rsidRPr="004A3FBE">
        <w:rPr>
          <w:i/>
        </w:rPr>
        <w:t>Kepler</w:t>
      </w:r>
      <w:r>
        <w:t xml:space="preserve"> observing program:  planetary transit search, characterization of transiting systems, and Guest Observers.</w:t>
      </w:r>
    </w:p>
    <w:p w:rsidR="00404448" w:rsidRDefault="00404448" w:rsidP="00404448">
      <w:pPr>
        <w:pStyle w:val="Heading3"/>
        <w:rPr>
          <w:snapToGrid w:val="0"/>
        </w:rPr>
      </w:pPr>
      <w:bookmarkStart w:id="12" w:name="_Toc322942135"/>
      <w:r>
        <w:rPr>
          <w:snapToGrid w:val="0"/>
        </w:rPr>
        <w:t>Planetary Transit Search</w:t>
      </w:r>
      <w:bookmarkEnd w:id="12"/>
    </w:p>
    <w:p w:rsidR="00404448" w:rsidRPr="003F451C" w:rsidRDefault="00404448" w:rsidP="00404448">
      <w:r>
        <w:t>The transit search program has the job of measuring the flux time series of &gt;100,000 stars to identify Threshold Crossing Events (TCEs), which are candidates for planetary transits.   The method used is precision photometry, which detects small (of order 100 ppm) decreases in flux from a star as its planet passes in front of it.  The photometry requires a precision of 20 ppm or better for a 12</w:t>
      </w:r>
      <w:r w:rsidRPr="006B6917">
        <w:rPr>
          <w:vertAlign w:val="superscript"/>
        </w:rPr>
        <w:t>th</w:t>
      </w:r>
      <w:r>
        <w:t xml:space="preserve"> magnitude G2V star, over a transit time scale of 6.5 hr.  </w:t>
      </w:r>
      <w:r w:rsidR="004A3FBE" w:rsidRPr="004A3FBE">
        <w:rPr>
          <w:i/>
        </w:rPr>
        <w:t>Kepler</w:t>
      </w:r>
      <w:r>
        <w:t xml:space="preserve"> must observe the same star field nearly continuously for at least 3.5 yr to see Earthlike planets around stars like the Sun complete 3 orbits.</w:t>
      </w:r>
    </w:p>
    <w:p w:rsidR="00404448" w:rsidRDefault="00404448" w:rsidP="00404448">
      <w:pPr>
        <w:pStyle w:val="Heading3"/>
        <w:rPr>
          <w:snapToGrid w:val="0"/>
        </w:rPr>
      </w:pPr>
      <w:bookmarkStart w:id="13" w:name="_Toc322942136"/>
      <w:r>
        <w:rPr>
          <w:snapToGrid w:val="0"/>
        </w:rPr>
        <w:t>Characterization of Transiting Systems</w:t>
      </w:r>
      <w:bookmarkEnd w:id="13"/>
    </w:p>
    <w:p w:rsidR="00404448" w:rsidRDefault="00404448" w:rsidP="00404448">
      <w:r>
        <w:t>TCEs cannot be confirmed as transits, and transits cannot be interpreted, without a thorough characterization of the candidate system and its neighborhood on the sky.  The characterization program thus includes:</w:t>
      </w:r>
    </w:p>
    <w:p w:rsidR="00404448" w:rsidRDefault="00404448" w:rsidP="00404448">
      <w:pPr>
        <w:numPr>
          <w:ilvl w:val="0"/>
          <w:numId w:val="46"/>
        </w:numPr>
      </w:pPr>
      <w:r>
        <w:t>Precise centroiding, from the same data used to derive the photometry, to show that the event was due to the target rather than some unresolved background object.</w:t>
      </w:r>
    </w:p>
    <w:p w:rsidR="00404448" w:rsidRDefault="00404448" w:rsidP="00404448">
      <w:pPr>
        <w:numPr>
          <w:ilvl w:val="0"/>
          <w:numId w:val="46"/>
        </w:numPr>
      </w:pPr>
      <w:r>
        <w:t xml:space="preserve">High spatial resolution imaging from ground-based telescopes and HST, to resolve background objects </w:t>
      </w:r>
      <w:r w:rsidR="00092759">
        <w:t xml:space="preserve">that </w:t>
      </w:r>
      <w:r>
        <w:t>may be causing the event.</w:t>
      </w:r>
    </w:p>
    <w:p w:rsidR="00404448" w:rsidRDefault="00404448" w:rsidP="00404448">
      <w:pPr>
        <w:numPr>
          <w:ilvl w:val="0"/>
          <w:numId w:val="46"/>
        </w:numPr>
      </w:pPr>
      <w:r>
        <w:t xml:space="preserve">Precise stellar radii, derived from </w:t>
      </w:r>
      <w:r w:rsidR="00815D3B">
        <w:t>subsequent SC observations of selected</w:t>
      </w:r>
      <w:r>
        <w:t xml:space="preserve"> target stars, which are fit to asteroseismological models. The star diameter must be known accurately in order to determine the planet’s diameter, since a transit measures only the ratio of diameters.</w:t>
      </w:r>
    </w:p>
    <w:p w:rsidR="00404448" w:rsidRDefault="00404448" w:rsidP="00404448">
      <w:pPr>
        <w:numPr>
          <w:ilvl w:val="0"/>
          <w:numId w:val="46"/>
        </w:numPr>
      </w:pPr>
      <w:r>
        <w:t xml:space="preserve">Measurement of stellar variability, using </w:t>
      </w:r>
      <w:r w:rsidR="004A3FBE" w:rsidRPr="004A3FBE">
        <w:rPr>
          <w:i/>
        </w:rPr>
        <w:t>Kepler</w:t>
      </w:r>
      <w:r>
        <w:t xml:space="preserve"> and ground-based data.  Stellar variability must be precisely measured to assess the contamination of the transit signal, and possibly reject the target for further observations, to free up resources for more promising stars.</w:t>
      </w:r>
    </w:p>
    <w:p w:rsidR="00404448" w:rsidRPr="00D92948" w:rsidRDefault="00404448" w:rsidP="00404448">
      <w:pPr>
        <w:numPr>
          <w:ilvl w:val="0"/>
          <w:numId w:val="46"/>
        </w:numPr>
      </w:pPr>
      <w:r>
        <w:t xml:space="preserve">Precise transit timing, using </w:t>
      </w:r>
      <w:r w:rsidR="004A3FBE" w:rsidRPr="004A3FBE">
        <w:rPr>
          <w:i/>
        </w:rPr>
        <w:t>Kepler</w:t>
      </w:r>
      <w:r>
        <w:t xml:space="preserve"> data on many transits for the same target, to detect the gravitational influence of non</w:t>
      </w:r>
      <w:r w:rsidR="0068684D">
        <w:t>-</w:t>
      </w:r>
      <w:r>
        <w:t>transiting planets.</w:t>
      </w:r>
    </w:p>
    <w:p w:rsidR="00404448" w:rsidRDefault="00404448" w:rsidP="00404448">
      <w:pPr>
        <w:pStyle w:val="Heading3"/>
        <w:rPr>
          <w:snapToGrid w:val="0"/>
        </w:rPr>
      </w:pPr>
      <w:bookmarkStart w:id="14" w:name="_Toc322942137"/>
      <w:r>
        <w:rPr>
          <w:snapToGrid w:val="0"/>
        </w:rPr>
        <w:t>Guest Observers</w:t>
      </w:r>
      <w:bookmarkEnd w:id="14"/>
    </w:p>
    <w:p w:rsidR="00404448" w:rsidRDefault="00404448" w:rsidP="00404448">
      <w:r>
        <w:t xml:space="preserve">In addition to those stars being monitored to detect planets, targets in the </w:t>
      </w:r>
      <w:r w:rsidR="004A3FBE" w:rsidRPr="004A3FBE">
        <w:rPr>
          <w:i/>
        </w:rPr>
        <w:t>Kepler</w:t>
      </w:r>
      <w:r w:rsidR="00815D3B">
        <w:t xml:space="preserve"> FOV were</w:t>
      </w:r>
      <w:r>
        <w:t xml:space="preserve"> selected for guest observers based on </w:t>
      </w:r>
      <w:r w:rsidR="0068684D">
        <w:t>peer-reviewed</w:t>
      </w:r>
      <w:r>
        <w:t xml:space="preserve"> proposals. For detailed information, please visit the </w:t>
      </w:r>
      <w:r w:rsidR="004A3FBE" w:rsidRPr="004A3FBE">
        <w:rPr>
          <w:i/>
        </w:rPr>
        <w:t>Kepler</w:t>
      </w:r>
      <w:r>
        <w:t xml:space="preserve"> Guest Observer Web Site (</w:t>
      </w:r>
      <w:hyperlink r:id="rId13" w:history="1">
        <w:r w:rsidR="00815D3B" w:rsidRPr="00DF5AC7">
          <w:rPr>
            <w:rStyle w:val="Hyperlink"/>
          </w:rPr>
          <w:t>http://keplerscience.arc.nasa.gov</w:t>
        </w:r>
      </w:hyperlink>
      <w:r w:rsidR="00815D3B">
        <w:t xml:space="preserve"> </w:t>
      </w:r>
      <w:r>
        <w:t>).</w:t>
      </w:r>
    </w:p>
    <w:p w:rsidR="00404448" w:rsidRPr="00394F88" w:rsidRDefault="00404448" w:rsidP="00404448">
      <w:pPr>
        <w:pStyle w:val="Heading2"/>
        <w:rPr>
          <w:sz w:val="22"/>
        </w:rPr>
      </w:pPr>
      <w:bookmarkStart w:id="15" w:name="_Toc322942138"/>
      <w:r w:rsidRPr="00394F88">
        <w:rPr>
          <w:sz w:val="22"/>
        </w:rPr>
        <w:t>Flight System Elements</w:t>
      </w:r>
      <w:bookmarkEnd w:id="15"/>
    </w:p>
    <w:p w:rsidR="00404448" w:rsidRDefault="00404448" w:rsidP="00404448">
      <w:r>
        <w:t xml:space="preserve">The Flight System is composed of the Spacecraft, which provides power, communications, and attitude control; and the Photometer, </w:t>
      </w:r>
      <w:r w:rsidR="004A3FBE" w:rsidRPr="004A3FBE">
        <w:rPr>
          <w:i/>
        </w:rPr>
        <w:t>Kepler</w:t>
      </w:r>
      <w:r>
        <w:t xml:space="preserve">’s sole scientific instrument.  The Photometer is in turn composed of the Telescope and the Focal Plane Array Assembly (FPAA).  The FPAA is composed of the Local Detector Electronics and the Detector Array Assembly.  These elements are described briefly in this Section.  The complete Flight System is shown in </w:t>
      </w:r>
      <w:r w:rsidR="004C78B9">
        <w:fldChar w:fldCharType="begin"/>
      </w:r>
      <w:r w:rsidR="00C903B6">
        <w:instrText xml:space="preserve"> REF _Ref201501965 \h </w:instrText>
      </w:r>
      <w:r w:rsidR="004C78B9">
        <w:fldChar w:fldCharType="separate"/>
      </w:r>
      <w:r w:rsidR="000D2EB4">
        <w:t xml:space="preserve">Figure </w:t>
      </w:r>
      <w:r w:rsidR="000D2EB4">
        <w:rPr>
          <w:noProof/>
        </w:rPr>
        <w:t>2</w:t>
      </w:r>
      <w:r w:rsidR="004C78B9">
        <w:fldChar w:fldCharType="end"/>
      </w:r>
      <w:r>
        <w:t>.</w:t>
      </w:r>
      <w:r>
        <w:br w:type="page"/>
      </w:r>
      <w:r w:rsidR="000518AB">
        <w:rPr>
          <w:noProof/>
        </w:rPr>
        <w:drawing>
          <wp:inline distT="0" distB="0" distL="0" distR="0">
            <wp:extent cx="5486400" cy="5103495"/>
            <wp:effectExtent l="0" t="0" r="0" b="0"/>
            <wp:docPr id="7" name="O 5"/>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292053" cy="5853112"/>
                      <a:chOff x="1158970" y="392113"/>
                      <a:chExt cx="6292053" cy="5853112"/>
                    </a:xfrm>
                  </a:grpSpPr>
                  <a:grpSp>
                    <a:nvGrpSpPr>
                      <a:cNvPr id="21" name="Group 20"/>
                      <a:cNvGrpSpPr/>
                    </a:nvGrpSpPr>
                    <a:grpSpPr>
                      <a:xfrm>
                        <a:off x="1158970" y="392113"/>
                        <a:ext cx="6292053" cy="5853112"/>
                        <a:chOff x="1158970" y="392113"/>
                        <a:chExt cx="6292053" cy="5853112"/>
                      </a:xfrm>
                    </a:grpSpPr>
                    <a:pic>
                      <a:nvPicPr>
                        <a:cNvPr id="13315" name="Picture 4" descr="Flight_Segment_bodypoint_#1_low_res_4-06"/>
                        <a:cNvPicPr>
                          <a:picLocks noChangeAspect="1" noChangeArrowheads="1"/>
                        </a:cNvPicPr>
                      </a:nvPicPr>
                      <a:blipFill>
                        <a:blip r:embed="rId14"/>
                        <a:srcRect/>
                        <a:stretch>
                          <a:fillRect/>
                        </a:stretch>
                      </a:blipFill>
                      <a:spPr bwMode="auto">
                        <a:xfrm>
                          <a:off x="2133600" y="392113"/>
                          <a:ext cx="4627563" cy="5791199"/>
                        </a:xfrm>
                        <a:prstGeom prst="rect">
                          <a:avLst/>
                        </a:prstGeom>
                        <a:noFill/>
                        <a:ln w="9525">
                          <a:noFill/>
                          <a:miter lim="800000"/>
                          <a:headEnd/>
                          <a:tailEnd/>
                        </a:ln>
                      </a:spPr>
                    </a:pic>
                    <a:sp>
                      <a:nvSpPr>
                        <a:cNvPr id="13316" name="Line 5"/>
                        <a:cNvSpPr>
                          <a:spLocks noChangeShapeType="1"/>
                        </a:cNvSpPr>
                      </a:nvSpPr>
                      <a:spPr bwMode="auto">
                        <a:xfrm>
                          <a:off x="5080157" y="5556481"/>
                          <a:ext cx="634843" cy="93431"/>
                        </a:xfrm>
                        <a:prstGeom prst="line">
                          <a:avLst/>
                        </a:prstGeom>
                        <a:noFill/>
                        <a:ln w="9525">
                          <a:solidFill>
                            <a:schemeClr val="tx1"/>
                          </a:solidFill>
                          <a:round/>
                          <a:headEnd type="triangle" w="med" len="med"/>
                          <a:tailEnd/>
                        </a:ln>
                      </a:spPr>
                      <a:txSp>
                        <a:txBody>
                          <a:bodyPr>
                            <a:prstTxWarp prst="textNoShape">
                              <a:avLst/>
                            </a:prstTxWarp>
                          </a:bodyPr>
                          <a:lstStyle>
                            <a:defPPr>
                              <a:defRPr lang="en-US"/>
                            </a:defPPr>
                            <a:lvl1pPr algn="l" rtl="0" eaLnBrk="0" fontAlgn="base" hangingPunct="0">
                              <a:spcBef>
                                <a:spcPct val="0"/>
                              </a:spcBef>
                              <a:spcAft>
                                <a:spcPct val="0"/>
                              </a:spcAft>
                              <a:defRPr kern="1200">
                                <a:solidFill>
                                  <a:schemeClr val="tx1"/>
                                </a:solidFill>
                                <a:latin typeface="Arial" pitchFamily="-111" charset="0"/>
                                <a:ea typeface="+mn-ea"/>
                                <a:cs typeface="+mn-cs"/>
                              </a:defRPr>
                            </a:lvl1pPr>
                            <a:lvl2pPr marL="457200" algn="l" rtl="0" eaLnBrk="0" fontAlgn="base" hangingPunct="0">
                              <a:spcBef>
                                <a:spcPct val="0"/>
                              </a:spcBef>
                              <a:spcAft>
                                <a:spcPct val="0"/>
                              </a:spcAft>
                              <a:defRPr kern="1200">
                                <a:solidFill>
                                  <a:schemeClr val="tx1"/>
                                </a:solidFill>
                                <a:latin typeface="Arial" pitchFamily="-111" charset="0"/>
                                <a:ea typeface="+mn-ea"/>
                                <a:cs typeface="+mn-cs"/>
                              </a:defRPr>
                            </a:lvl2pPr>
                            <a:lvl3pPr marL="914400" algn="l" rtl="0" eaLnBrk="0" fontAlgn="base" hangingPunct="0">
                              <a:spcBef>
                                <a:spcPct val="0"/>
                              </a:spcBef>
                              <a:spcAft>
                                <a:spcPct val="0"/>
                              </a:spcAft>
                              <a:defRPr kern="1200">
                                <a:solidFill>
                                  <a:schemeClr val="tx1"/>
                                </a:solidFill>
                                <a:latin typeface="Arial" pitchFamily="-111" charset="0"/>
                                <a:ea typeface="+mn-ea"/>
                                <a:cs typeface="+mn-cs"/>
                              </a:defRPr>
                            </a:lvl3pPr>
                            <a:lvl4pPr marL="1371600" algn="l" rtl="0" eaLnBrk="0" fontAlgn="base" hangingPunct="0">
                              <a:spcBef>
                                <a:spcPct val="0"/>
                              </a:spcBef>
                              <a:spcAft>
                                <a:spcPct val="0"/>
                              </a:spcAft>
                              <a:defRPr kern="1200">
                                <a:solidFill>
                                  <a:schemeClr val="tx1"/>
                                </a:solidFill>
                                <a:latin typeface="Arial" pitchFamily="-111" charset="0"/>
                                <a:ea typeface="+mn-ea"/>
                                <a:cs typeface="+mn-cs"/>
                              </a:defRPr>
                            </a:lvl4pPr>
                            <a:lvl5pPr marL="1828800" algn="l" rtl="0" eaLnBrk="0" fontAlgn="base" hangingPunct="0">
                              <a:spcBef>
                                <a:spcPct val="0"/>
                              </a:spcBef>
                              <a:spcAft>
                                <a:spcPct val="0"/>
                              </a:spcAft>
                              <a:defRPr kern="1200">
                                <a:solidFill>
                                  <a:schemeClr val="tx1"/>
                                </a:solidFill>
                                <a:latin typeface="Arial" pitchFamily="-111" charset="0"/>
                                <a:ea typeface="+mn-ea"/>
                                <a:cs typeface="+mn-cs"/>
                              </a:defRPr>
                            </a:lvl5pPr>
                            <a:lvl6pPr marL="2286000" algn="l" defTabSz="457200" rtl="0" eaLnBrk="1" latinLnBrk="0" hangingPunct="1">
                              <a:defRPr kern="1200">
                                <a:solidFill>
                                  <a:schemeClr val="tx1"/>
                                </a:solidFill>
                                <a:latin typeface="Arial" pitchFamily="-111" charset="0"/>
                                <a:ea typeface="+mn-ea"/>
                                <a:cs typeface="+mn-cs"/>
                              </a:defRPr>
                            </a:lvl6pPr>
                            <a:lvl7pPr marL="2743200" algn="l" defTabSz="457200" rtl="0" eaLnBrk="1" latinLnBrk="0" hangingPunct="1">
                              <a:defRPr kern="1200">
                                <a:solidFill>
                                  <a:schemeClr val="tx1"/>
                                </a:solidFill>
                                <a:latin typeface="Arial" pitchFamily="-111" charset="0"/>
                                <a:ea typeface="+mn-ea"/>
                                <a:cs typeface="+mn-cs"/>
                              </a:defRPr>
                            </a:lvl7pPr>
                            <a:lvl8pPr marL="3200400" algn="l" defTabSz="457200" rtl="0" eaLnBrk="1" latinLnBrk="0" hangingPunct="1">
                              <a:defRPr kern="1200">
                                <a:solidFill>
                                  <a:schemeClr val="tx1"/>
                                </a:solidFill>
                                <a:latin typeface="Arial" pitchFamily="-111" charset="0"/>
                                <a:ea typeface="+mn-ea"/>
                                <a:cs typeface="+mn-cs"/>
                              </a:defRPr>
                            </a:lvl8pPr>
                            <a:lvl9pPr marL="3657600" algn="l" defTabSz="457200" rtl="0" eaLnBrk="1" latinLnBrk="0" hangingPunct="1">
                              <a:defRPr kern="1200">
                                <a:solidFill>
                                  <a:schemeClr val="tx1"/>
                                </a:solidFill>
                                <a:latin typeface="Arial" pitchFamily="-111" charset="0"/>
                                <a:ea typeface="+mn-ea"/>
                                <a:cs typeface="+mn-cs"/>
                              </a:defRPr>
                            </a:lvl9pPr>
                          </a:lstStyle>
                          <a:p>
                            <a:endParaRPr lang="en-US"/>
                          </a:p>
                        </a:txBody>
                        <a:useSpRect/>
                      </a:txSp>
                    </a:sp>
                    <a:sp>
                      <a:nvSpPr>
                        <a:cNvPr id="13317" name="Line 6"/>
                        <a:cNvSpPr>
                          <a:spLocks noChangeShapeType="1"/>
                        </a:cNvSpPr>
                      </a:nvSpPr>
                      <a:spPr bwMode="auto">
                        <a:xfrm flipV="1">
                          <a:off x="2036448" y="4506911"/>
                          <a:ext cx="325751" cy="733487"/>
                        </a:xfrm>
                        <a:prstGeom prst="line">
                          <a:avLst/>
                        </a:prstGeom>
                        <a:noFill/>
                        <a:ln w="9525">
                          <a:solidFill>
                            <a:schemeClr val="tx1"/>
                          </a:solidFill>
                          <a:round/>
                          <a:headEnd/>
                          <a:tailEnd type="triangle" w="med" len="med"/>
                        </a:ln>
                      </a:spPr>
                      <a:txSp>
                        <a:txBody>
                          <a:bodyPr>
                            <a:prstTxWarp prst="textNoShape">
                              <a:avLst/>
                            </a:prstTxWarp>
                          </a:bodyPr>
                          <a:lstStyle>
                            <a:defPPr>
                              <a:defRPr lang="en-US"/>
                            </a:defPPr>
                            <a:lvl1pPr algn="l" rtl="0" eaLnBrk="0" fontAlgn="base" hangingPunct="0">
                              <a:spcBef>
                                <a:spcPct val="0"/>
                              </a:spcBef>
                              <a:spcAft>
                                <a:spcPct val="0"/>
                              </a:spcAft>
                              <a:defRPr kern="1200">
                                <a:solidFill>
                                  <a:schemeClr val="tx1"/>
                                </a:solidFill>
                                <a:latin typeface="Arial" pitchFamily="-111" charset="0"/>
                                <a:ea typeface="+mn-ea"/>
                                <a:cs typeface="+mn-cs"/>
                              </a:defRPr>
                            </a:lvl1pPr>
                            <a:lvl2pPr marL="457200" algn="l" rtl="0" eaLnBrk="0" fontAlgn="base" hangingPunct="0">
                              <a:spcBef>
                                <a:spcPct val="0"/>
                              </a:spcBef>
                              <a:spcAft>
                                <a:spcPct val="0"/>
                              </a:spcAft>
                              <a:defRPr kern="1200">
                                <a:solidFill>
                                  <a:schemeClr val="tx1"/>
                                </a:solidFill>
                                <a:latin typeface="Arial" pitchFamily="-111" charset="0"/>
                                <a:ea typeface="+mn-ea"/>
                                <a:cs typeface="+mn-cs"/>
                              </a:defRPr>
                            </a:lvl2pPr>
                            <a:lvl3pPr marL="914400" algn="l" rtl="0" eaLnBrk="0" fontAlgn="base" hangingPunct="0">
                              <a:spcBef>
                                <a:spcPct val="0"/>
                              </a:spcBef>
                              <a:spcAft>
                                <a:spcPct val="0"/>
                              </a:spcAft>
                              <a:defRPr kern="1200">
                                <a:solidFill>
                                  <a:schemeClr val="tx1"/>
                                </a:solidFill>
                                <a:latin typeface="Arial" pitchFamily="-111" charset="0"/>
                                <a:ea typeface="+mn-ea"/>
                                <a:cs typeface="+mn-cs"/>
                              </a:defRPr>
                            </a:lvl3pPr>
                            <a:lvl4pPr marL="1371600" algn="l" rtl="0" eaLnBrk="0" fontAlgn="base" hangingPunct="0">
                              <a:spcBef>
                                <a:spcPct val="0"/>
                              </a:spcBef>
                              <a:spcAft>
                                <a:spcPct val="0"/>
                              </a:spcAft>
                              <a:defRPr kern="1200">
                                <a:solidFill>
                                  <a:schemeClr val="tx1"/>
                                </a:solidFill>
                                <a:latin typeface="Arial" pitchFamily="-111" charset="0"/>
                                <a:ea typeface="+mn-ea"/>
                                <a:cs typeface="+mn-cs"/>
                              </a:defRPr>
                            </a:lvl4pPr>
                            <a:lvl5pPr marL="1828800" algn="l" rtl="0" eaLnBrk="0" fontAlgn="base" hangingPunct="0">
                              <a:spcBef>
                                <a:spcPct val="0"/>
                              </a:spcBef>
                              <a:spcAft>
                                <a:spcPct val="0"/>
                              </a:spcAft>
                              <a:defRPr kern="1200">
                                <a:solidFill>
                                  <a:schemeClr val="tx1"/>
                                </a:solidFill>
                                <a:latin typeface="Arial" pitchFamily="-111" charset="0"/>
                                <a:ea typeface="+mn-ea"/>
                                <a:cs typeface="+mn-cs"/>
                              </a:defRPr>
                            </a:lvl5pPr>
                            <a:lvl6pPr marL="2286000" algn="l" defTabSz="457200" rtl="0" eaLnBrk="1" latinLnBrk="0" hangingPunct="1">
                              <a:defRPr kern="1200">
                                <a:solidFill>
                                  <a:schemeClr val="tx1"/>
                                </a:solidFill>
                                <a:latin typeface="Arial" pitchFamily="-111" charset="0"/>
                                <a:ea typeface="+mn-ea"/>
                                <a:cs typeface="+mn-cs"/>
                              </a:defRPr>
                            </a:lvl6pPr>
                            <a:lvl7pPr marL="2743200" algn="l" defTabSz="457200" rtl="0" eaLnBrk="1" latinLnBrk="0" hangingPunct="1">
                              <a:defRPr kern="1200">
                                <a:solidFill>
                                  <a:schemeClr val="tx1"/>
                                </a:solidFill>
                                <a:latin typeface="Arial" pitchFamily="-111" charset="0"/>
                                <a:ea typeface="+mn-ea"/>
                                <a:cs typeface="+mn-cs"/>
                              </a:defRPr>
                            </a:lvl7pPr>
                            <a:lvl8pPr marL="3200400" algn="l" defTabSz="457200" rtl="0" eaLnBrk="1" latinLnBrk="0" hangingPunct="1">
                              <a:defRPr kern="1200">
                                <a:solidFill>
                                  <a:schemeClr val="tx1"/>
                                </a:solidFill>
                                <a:latin typeface="Arial" pitchFamily="-111" charset="0"/>
                                <a:ea typeface="+mn-ea"/>
                                <a:cs typeface="+mn-cs"/>
                              </a:defRPr>
                            </a:lvl8pPr>
                            <a:lvl9pPr marL="3657600" algn="l" defTabSz="457200" rtl="0" eaLnBrk="1" latinLnBrk="0" hangingPunct="1">
                              <a:defRPr kern="1200">
                                <a:solidFill>
                                  <a:schemeClr val="tx1"/>
                                </a:solidFill>
                                <a:latin typeface="Arial" pitchFamily="-111" charset="0"/>
                                <a:ea typeface="+mn-ea"/>
                                <a:cs typeface="+mn-cs"/>
                              </a:defRPr>
                            </a:lvl9pPr>
                          </a:lstStyle>
                          <a:p>
                            <a:endParaRPr lang="en-US"/>
                          </a:p>
                        </a:txBody>
                        <a:useSpRect/>
                      </a:txSp>
                    </a:sp>
                    <a:sp>
                      <a:nvSpPr>
                        <a:cNvPr id="13318" name="Line 7"/>
                        <a:cNvSpPr>
                          <a:spLocks noChangeShapeType="1"/>
                        </a:cNvSpPr>
                      </a:nvSpPr>
                      <a:spPr bwMode="auto">
                        <a:xfrm flipV="1">
                          <a:off x="2139416" y="4964111"/>
                          <a:ext cx="146584" cy="287729"/>
                        </a:xfrm>
                        <a:prstGeom prst="line">
                          <a:avLst/>
                        </a:prstGeom>
                        <a:noFill/>
                        <a:ln w="9525">
                          <a:solidFill>
                            <a:schemeClr val="tx1"/>
                          </a:solidFill>
                          <a:round/>
                          <a:headEnd/>
                          <a:tailEnd type="triangle" w="med" len="med"/>
                        </a:ln>
                      </a:spPr>
                      <a:txSp>
                        <a:txBody>
                          <a:bodyPr>
                            <a:prstTxWarp prst="textNoShape">
                              <a:avLst/>
                            </a:prstTxWarp>
                          </a:bodyPr>
                          <a:lstStyle>
                            <a:defPPr>
                              <a:defRPr lang="en-US"/>
                            </a:defPPr>
                            <a:lvl1pPr algn="l" rtl="0" eaLnBrk="0" fontAlgn="base" hangingPunct="0">
                              <a:spcBef>
                                <a:spcPct val="0"/>
                              </a:spcBef>
                              <a:spcAft>
                                <a:spcPct val="0"/>
                              </a:spcAft>
                              <a:defRPr kern="1200">
                                <a:solidFill>
                                  <a:schemeClr val="tx1"/>
                                </a:solidFill>
                                <a:latin typeface="Arial" pitchFamily="-111" charset="0"/>
                                <a:ea typeface="+mn-ea"/>
                                <a:cs typeface="+mn-cs"/>
                              </a:defRPr>
                            </a:lvl1pPr>
                            <a:lvl2pPr marL="457200" algn="l" rtl="0" eaLnBrk="0" fontAlgn="base" hangingPunct="0">
                              <a:spcBef>
                                <a:spcPct val="0"/>
                              </a:spcBef>
                              <a:spcAft>
                                <a:spcPct val="0"/>
                              </a:spcAft>
                              <a:defRPr kern="1200">
                                <a:solidFill>
                                  <a:schemeClr val="tx1"/>
                                </a:solidFill>
                                <a:latin typeface="Arial" pitchFamily="-111" charset="0"/>
                                <a:ea typeface="+mn-ea"/>
                                <a:cs typeface="+mn-cs"/>
                              </a:defRPr>
                            </a:lvl2pPr>
                            <a:lvl3pPr marL="914400" algn="l" rtl="0" eaLnBrk="0" fontAlgn="base" hangingPunct="0">
                              <a:spcBef>
                                <a:spcPct val="0"/>
                              </a:spcBef>
                              <a:spcAft>
                                <a:spcPct val="0"/>
                              </a:spcAft>
                              <a:defRPr kern="1200">
                                <a:solidFill>
                                  <a:schemeClr val="tx1"/>
                                </a:solidFill>
                                <a:latin typeface="Arial" pitchFamily="-111" charset="0"/>
                                <a:ea typeface="+mn-ea"/>
                                <a:cs typeface="+mn-cs"/>
                              </a:defRPr>
                            </a:lvl3pPr>
                            <a:lvl4pPr marL="1371600" algn="l" rtl="0" eaLnBrk="0" fontAlgn="base" hangingPunct="0">
                              <a:spcBef>
                                <a:spcPct val="0"/>
                              </a:spcBef>
                              <a:spcAft>
                                <a:spcPct val="0"/>
                              </a:spcAft>
                              <a:defRPr kern="1200">
                                <a:solidFill>
                                  <a:schemeClr val="tx1"/>
                                </a:solidFill>
                                <a:latin typeface="Arial" pitchFamily="-111" charset="0"/>
                                <a:ea typeface="+mn-ea"/>
                                <a:cs typeface="+mn-cs"/>
                              </a:defRPr>
                            </a:lvl4pPr>
                            <a:lvl5pPr marL="1828800" algn="l" rtl="0" eaLnBrk="0" fontAlgn="base" hangingPunct="0">
                              <a:spcBef>
                                <a:spcPct val="0"/>
                              </a:spcBef>
                              <a:spcAft>
                                <a:spcPct val="0"/>
                              </a:spcAft>
                              <a:defRPr kern="1200">
                                <a:solidFill>
                                  <a:schemeClr val="tx1"/>
                                </a:solidFill>
                                <a:latin typeface="Arial" pitchFamily="-111" charset="0"/>
                                <a:ea typeface="+mn-ea"/>
                                <a:cs typeface="+mn-cs"/>
                              </a:defRPr>
                            </a:lvl5pPr>
                            <a:lvl6pPr marL="2286000" algn="l" defTabSz="457200" rtl="0" eaLnBrk="1" latinLnBrk="0" hangingPunct="1">
                              <a:defRPr kern="1200">
                                <a:solidFill>
                                  <a:schemeClr val="tx1"/>
                                </a:solidFill>
                                <a:latin typeface="Arial" pitchFamily="-111" charset="0"/>
                                <a:ea typeface="+mn-ea"/>
                                <a:cs typeface="+mn-cs"/>
                              </a:defRPr>
                            </a:lvl6pPr>
                            <a:lvl7pPr marL="2743200" algn="l" defTabSz="457200" rtl="0" eaLnBrk="1" latinLnBrk="0" hangingPunct="1">
                              <a:defRPr kern="1200">
                                <a:solidFill>
                                  <a:schemeClr val="tx1"/>
                                </a:solidFill>
                                <a:latin typeface="Arial" pitchFamily="-111" charset="0"/>
                                <a:ea typeface="+mn-ea"/>
                                <a:cs typeface="+mn-cs"/>
                              </a:defRPr>
                            </a:lvl7pPr>
                            <a:lvl8pPr marL="3200400" algn="l" defTabSz="457200" rtl="0" eaLnBrk="1" latinLnBrk="0" hangingPunct="1">
                              <a:defRPr kern="1200">
                                <a:solidFill>
                                  <a:schemeClr val="tx1"/>
                                </a:solidFill>
                                <a:latin typeface="Arial" pitchFamily="-111" charset="0"/>
                                <a:ea typeface="+mn-ea"/>
                                <a:cs typeface="+mn-cs"/>
                              </a:defRPr>
                            </a:lvl8pPr>
                            <a:lvl9pPr marL="3657600" algn="l" defTabSz="457200" rtl="0" eaLnBrk="1" latinLnBrk="0" hangingPunct="1">
                              <a:defRPr kern="1200">
                                <a:solidFill>
                                  <a:schemeClr val="tx1"/>
                                </a:solidFill>
                                <a:latin typeface="Arial" pitchFamily="-111" charset="0"/>
                                <a:ea typeface="+mn-ea"/>
                                <a:cs typeface="+mn-cs"/>
                              </a:defRPr>
                            </a:lvl9pPr>
                          </a:lstStyle>
                          <a:p>
                            <a:endParaRPr lang="en-US"/>
                          </a:p>
                        </a:txBody>
                        <a:useSpRect/>
                      </a:txSp>
                    </a:sp>
                    <a:sp>
                      <a:nvSpPr>
                        <a:cNvPr id="13319" name="Line 8"/>
                        <a:cNvSpPr>
                          <a:spLocks noChangeShapeType="1"/>
                        </a:cNvSpPr>
                      </a:nvSpPr>
                      <a:spPr bwMode="auto">
                        <a:xfrm flipH="1" flipV="1">
                          <a:off x="3429000" y="4964112"/>
                          <a:ext cx="76200" cy="914400"/>
                        </a:xfrm>
                        <a:prstGeom prst="line">
                          <a:avLst/>
                        </a:prstGeom>
                        <a:noFill/>
                        <a:ln w="9525">
                          <a:solidFill>
                            <a:schemeClr val="tx1"/>
                          </a:solidFill>
                          <a:round/>
                          <a:headEnd/>
                          <a:tailEnd type="triangle" w="med" len="med"/>
                        </a:ln>
                      </a:spPr>
                      <a:txSp>
                        <a:txBody>
                          <a:bodyPr>
                            <a:prstTxWarp prst="textNoShape">
                              <a:avLst/>
                            </a:prstTxWarp>
                          </a:bodyPr>
                          <a:lstStyle>
                            <a:defPPr>
                              <a:defRPr lang="en-US"/>
                            </a:defPPr>
                            <a:lvl1pPr algn="l" rtl="0" eaLnBrk="0" fontAlgn="base" hangingPunct="0">
                              <a:spcBef>
                                <a:spcPct val="0"/>
                              </a:spcBef>
                              <a:spcAft>
                                <a:spcPct val="0"/>
                              </a:spcAft>
                              <a:defRPr kern="1200">
                                <a:solidFill>
                                  <a:schemeClr val="tx1"/>
                                </a:solidFill>
                                <a:latin typeface="Arial" pitchFamily="-111" charset="0"/>
                                <a:ea typeface="+mn-ea"/>
                                <a:cs typeface="+mn-cs"/>
                              </a:defRPr>
                            </a:lvl1pPr>
                            <a:lvl2pPr marL="457200" algn="l" rtl="0" eaLnBrk="0" fontAlgn="base" hangingPunct="0">
                              <a:spcBef>
                                <a:spcPct val="0"/>
                              </a:spcBef>
                              <a:spcAft>
                                <a:spcPct val="0"/>
                              </a:spcAft>
                              <a:defRPr kern="1200">
                                <a:solidFill>
                                  <a:schemeClr val="tx1"/>
                                </a:solidFill>
                                <a:latin typeface="Arial" pitchFamily="-111" charset="0"/>
                                <a:ea typeface="+mn-ea"/>
                                <a:cs typeface="+mn-cs"/>
                              </a:defRPr>
                            </a:lvl2pPr>
                            <a:lvl3pPr marL="914400" algn="l" rtl="0" eaLnBrk="0" fontAlgn="base" hangingPunct="0">
                              <a:spcBef>
                                <a:spcPct val="0"/>
                              </a:spcBef>
                              <a:spcAft>
                                <a:spcPct val="0"/>
                              </a:spcAft>
                              <a:defRPr kern="1200">
                                <a:solidFill>
                                  <a:schemeClr val="tx1"/>
                                </a:solidFill>
                                <a:latin typeface="Arial" pitchFamily="-111" charset="0"/>
                                <a:ea typeface="+mn-ea"/>
                                <a:cs typeface="+mn-cs"/>
                              </a:defRPr>
                            </a:lvl3pPr>
                            <a:lvl4pPr marL="1371600" algn="l" rtl="0" eaLnBrk="0" fontAlgn="base" hangingPunct="0">
                              <a:spcBef>
                                <a:spcPct val="0"/>
                              </a:spcBef>
                              <a:spcAft>
                                <a:spcPct val="0"/>
                              </a:spcAft>
                              <a:defRPr kern="1200">
                                <a:solidFill>
                                  <a:schemeClr val="tx1"/>
                                </a:solidFill>
                                <a:latin typeface="Arial" pitchFamily="-111" charset="0"/>
                                <a:ea typeface="+mn-ea"/>
                                <a:cs typeface="+mn-cs"/>
                              </a:defRPr>
                            </a:lvl4pPr>
                            <a:lvl5pPr marL="1828800" algn="l" rtl="0" eaLnBrk="0" fontAlgn="base" hangingPunct="0">
                              <a:spcBef>
                                <a:spcPct val="0"/>
                              </a:spcBef>
                              <a:spcAft>
                                <a:spcPct val="0"/>
                              </a:spcAft>
                              <a:defRPr kern="1200">
                                <a:solidFill>
                                  <a:schemeClr val="tx1"/>
                                </a:solidFill>
                                <a:latin typeface="Arial" pitchFamily="-111" charset="0"/>
                                <a:ea typeface="+mn-ea"/>
                                <a:cs typeface="+mn-cs"/>
                              </a:defRPr>
                            </a:lvl5pPr>
                            <a:lvl6pPr marL="2286000" algn="l" defTabSz="457200" rtl="0" eaLnBrk="1" latinLnBrk="0" hangingPunct="1">
                              <a:defRPr kern="1200">
                                <a:solidFill>
                                  <a:schemeClr val="tx1"/>
                                </a:solidFill>
                                <a:latin typeface="Arial" pitchFamily="-111" charset="0"/>
                                <a:ea typeface="+mn-ea"/>
                                <a:cs typeface="+mn-cs"/>
                              </a:defRPr>
                            </a:lvl6pPr>
                            <a:lvl7pPr marL="2743200" algn="l" defTabSz="457200" rtl="0" eaLnBrk="1" latinLnBrk="0" hangingPunct="1">
                              <a:defRPr kern="1200">
                                <a:solidFill>
                                  <a:schemeClr val="tx1"/>
                                </a:solidFill>
                                <a:latin typeface="Arial" pitchFamily="-111" charset="0"/>
                                <a:ea typeface="+mn-ea"/>
                                <a:cs typeface="+mn-cs"/>
                              </a:defRPr>
                            </a:lvl7pPr>
                            <a:lvl8pPr marL="3200400" algn="l" defTabSz="457200" rtl="0" eaLnBrk="1" latinLnBrk="0" hangingPunct="1">
                              <a:defRPr kern="1200">
                                <a:solidFill>
                                  <a:schemeClr val="tx1"/>
                                </a:solidFill>
                                <a:latin typeface="Arial" pitchFamily="-111" charset="0"/>
                                <a:ea typeface="+mn-ea"/>
                                <a:cs typeface="+mn-cs"/>
                              </a:defRPr>
                            </a:lvl8pPr>
                            <a:lvl9pPr marL="3657600" algn="l" defTabSz="457200" rtl="0" eaLnBrk="1" latinLnBrk="0" hangingPunct="1">
                              <a:defRPr kern="1200">
                                <a:solidFill>
                                  <a:schemeClr val="tx1"/>
                                </a:solidFill>
                                <a:latin typeface="Arial" pitchFamily="-111" charset="0"/>
                                <a:ea typeface="+mn-ea"/>
                                <a:cs typeface="+mn-cs"/>
                              </a:defRPr>
                            </a:lvl9pPr>
                          </a:lstStyle>
                          <a:p>
                            <a:endParaRPr lang="en-US"/>
                          </a:p>
                        </a:txBody>
                        <a:useSpRect/>
                      </a:txSp>
                    </a:sp>
                    <a:sp>
                      <a:nvSpPr>
                        <a:cNvPr id="13320" name="Line 9"/>
                        <a:cNvSpPr>
                          <a:spLocks noChangeShapeType="1"/>
                        </a:cNvSpPr>
                      </a:nvSpPr>
                      <a:spPr bwMode="auto">
                        <a:xfrm flipV="1">
                          <a:off x="3581400" y="5116512"/>
                          <a:ext cx="152400" cy="762000"/>
                        </a:xfrm>
                        <a:prstGeom prst="line">
                          <a:avLst/>
                        </a:prstGeom>
                        <a:noFill/>
                        <a:ln w="9525">
                          <a:solidFill>
                            <a:schemeClr val="tx1"/>
                          </a:solidFill>
                          <a:round/>
                          <a:headEnd/>
                          <a:tailEnd type="triangle" w="med" len="med"/>
                        </a:ln>
                      </a:spPr>
                      <a:txSp>
                        <a:txBody>
                          <a:bodyPr>
                            <a:prstTxWarp prst="textNoShape">
                              <a:avLst/>
                            </a:prstTxWarp>
                          </a:bodyPr>
                          <a:lstStyle>
                            <a:defPPr>
                              <a:defRPr lang="en-US"/>
                            </a:defPPr>
                            <a:lvl1pPr algn="l" rtl="0" eaLnBrk="0" fontAlgn="base" hangingPunct="0">
                              <a:spcBef>
                                <a:spcPct val="0"/>
                              </a:spcBef>
                              <a:spcAft>
                                <a:spcPct val="0"/>
                              </a:spcAft>
                              <a:defRPr kern="1200">
                                <a:solidFill>
                                  <a:schemeClr val="tx1"/>
                                </a:solidFill>
                                <a:latin typeface="Arial" pitchFamily="-111" charset="0"/>
                                <a:ea typeface="+mn-ea"/>
                                <a:cs typeface="+mn-cs"/>
                              </a:defRPr>
                            </a:lvl1pPr>
                            <a:lvl2pPr marL="457200" algn="l" rtl="0" eaLnBrk="0" fontAlgn="base" hangingPunct="0">
                              <a:spcBef>
                                <a:spcPct val="0"/>
                              </a:spcBef>
                              <a:spcAft>
                                <a:spcPct val="0"/>
                              </a:spcAft>
                              <a:defRPr kern="1200">
                                <a:solidFill>
                                  <a:schemeClr val="tx1"/>
                                </a:solidFill>
                                <a:latin typeface="Arial" pitchFamily="-111" charset="0"/>
                                <a:ea typeface="+mn-ea"/>
                                <a:cs typeface="+mn-cs"/>
                              </a:defRPr>
                            </a:lvl2pPr>
                            <a:lvl3pPr marL="914400" algn="l" rtl="0" eaLnBrk="0" fontAlgn="base" hangingPunct="0">
                              <a:spcBef>
                                <a:spcPct val="0"/>
                              </a:spcBef>
                              <a:spcAft>
                                <a:spcPct val="0"/>
                              </a:spcAft>
                              <a:defRPr kern="1200">
                                <a:solidFill>
                                  <a:schemeClr val="tx1"/>
                                </a:solidFill>
                                <a:latin typeface="Arial" pitchFamily="-111" charset="0"/>
                                <a:ea typeface="+mn-ea"/>
                                <a:cs typeface="+mn-cs"/>
                              </a:defRPr>
                            </a:lvl3pPr>
                            <a:lvl4pPr marL="1371600" algn="l" rtl="0" eaLnBrk="0" fontAlgn="base" hangingPunct="0">
                              <a:spcBef>
                                <a:spcPct val="0"/>
                              </a:spcBef>
                              <a:spcAft>
                                <a:spcPct val="0"/>
                              </a:spcAft>
                              <a:defRPr kern="1200">
                                <a:solidFill>
                                  <a:schemeClr val="tx1"/>
                                </a:solidFill>
                                <a:latin typeface="Arial" pitchFamily="-111" charset="0"/>
                                <a:ea typeface="+mn-ea"/>
                                <a:cs typeface="+mn-cs"/>
                              </a:defRPr>
                            </a:lvl4pPr>
                            <a:lvl5pPr marL="1828800" algn="l" rtl="0" eaLnBrk="0" fontAlgn="base" hangingPunct="0">
                              <a:spcBef>
                                <a:spcPct val="0"/>
                              </a:spcBef>
                              <a:spcAft>
                                <a:spcPct val="0"/>
                              </a:spcAft>
                              <a:defRPr kern="1200">
                                <a:solidFill>
                                  <a:schemeClr val="tx1"/>
                                </a:solidFill>
                                <a:latin typeface="Arial" pitchFamily="-111" charset="0"/>
                                <a:ea typeface="+mn-ea"/>
                                <a:cs typeface="+mn-cs"/>
                              </a:defRPr>
                            </a:lvl5pPr>
                            <a:lvl6pPr marL="2286000" algn="l" defTabSz="457200" rtl="0" eaLnBrk="1" latinLnBrk="0" hangingPunct="1">
                              <a:defRPr kern="1200">
                                <a:solidFill>
                                  <a:schemeClr val="tx1"/>
                                </a:solidFill>
                                <a:latin typeface="Arial" pitchFamily="-111" charset="0"/>
                                <a:ea typeface="+mn-ea"/>
                                <a:cs typeface="+mn-cs"/>
                              </a:defRPr>
                            </a:lvl6pPr>
                            <a:lvl7pPr marL="2743200" algn="l" defTabSz="457200" rtl="0" eaLnBrk="1" latinLnBrk="0" hangingPunct="1">
                              <a:defRPr kern="1200">
                                <a:solidFill>
                                  <a:schemeClr val="tx1"/>
                                </a:solidFill>
                                <a:latin typeface="Arial" pitchFamily="-111" charset="0"/>
                                <a:ea typeface="+mn-ea"/>
                                <a:cs typeface="+mn-cs"/>
                              </a:defRPr>
                            </a:lvl7pPr>
                            <a:lvl8pPr marL="3200400" algn="l" defTabSz="457200" rtl="0" eaLnBrk="1" latinLnBrk="0" hangingPunct="1">
                              <a:defRPr kern="1200">
                                <a:solidFill>
                                  <a:schemeClr val="tx1"/>
                                </a:solidFill>
                                <a:latin typeface="Arial" pitchFamily="-111" charset="0"/>
                                <a:ea typeface="+mn-ea"/>
                                <a:cs typeface="+mn-cs"/>
                              </a:defRPr>
                            </a:lvl8pPr>
                            <a:lvl9pPr marL="3657600" algn="l" defTabSz="457200" rtl="0" eaLnBrk="1" latinLnBrk="0" hangingPunct="1">
                              <a:defRPr kern="1200">
                                <a:solidFill>
                                  <a:schemeClr val="tx1"/>
                                </a:solidFill>
                                <a:latin typeface="Arial" pitchFamily="-111" charset="0"/>
                                <a:ea typeface="+mn-ea"/>
                                <a:cs typeface="+mn-cs"/>
                              </a:defRPr>
                            </a:lvl9pPr>
                          </a:lstStyle>
                          <a:p>
                            <a:endParaRPr lang="en-US"/>
                          </a:p>
                        </a:txBody>
                        <a:useSpRect/>
                      </a:txSp>
                    </a:sp>
                    <a:sp>
                      <a:nvSpPr>
                        <a:cNvPr id="13321" name="Line 10"/>
                        <a:cNvSpPr>
                          <a:spLocks noChangeShapeType="1"/>
                        </a:cNvSpPr>
                      </a:nvSpPr>
                      <a:spPr bwMode="auto">
                        <a:xfrm flipH="1" flipV="1">
                          <a:off x="5638800" y="4049712"/>
                          <a:ext cx="609600" cy="76200"/>
                        </a:xfrm>
                        <a:prstGeom prst="line">
                          <a:avLst/>
                        </a:prstGeom>
                        <a:noFill/>
                        <a:ln w="9525">
                          <a:solidFill>
                            <a:schemeClr val="tx1"/>
                          </a:solidFill>
                          <a:round/>
                          <a:headEnd/>
                          <a:tailEnd type="triangle" w="med" len="med"/>
                        </a:ln>
                      </a:spPr>
                      <a:txSp>
                        <a:txBody>
                          <a:bodyPr>
                            <a:prstTxWarp prst="textNoShape">
                              <a:avLst/>
                            </a:prstTxWarp>
                          </a:bodyPr>
                          <a:lstStyle>
                            <a:defPPr>
                              <a:defRPr lang="en-US"/>
                            </a:defPPr>
                            <a:lvl1pPr algn="l" rtl="0" eaLnBrk="0" fontAlgn="base" hangingPunct="0">
                              <a:spcBef>
                                <a:spcPct val="0"/>
                              </a:spcBef>
                              <a:spcAft>
                                <a:spcPct val="0"/>
                              </a:spcAft>
                              <a:defRPr kern="1200">
                                <a:solidFill>
                                  <a:schemeClr val="tx1"/>
                                </a:solidFill>
                                <a:latin typeface="Arial" pitchFamily="-111" charset="0"/>
                                <a:ea typeface="+mn-ea"/>
                                <a:cs typeface="+mn-cs"/>
                              </a:defRPr>
                            </a:lvl1pPr>
                            <a:lvl2pPr marL="457200" algn="l" rtl="0" eaLnBrk="0" fontAlgn="base" hangingPunct="0">
                              <a:spcBef>
                                <a:spcPct val="0"/>
                              </a:spcBef>
                              <a:spcAft>
                                <a:spcPct val="0"/>
                              </a:spcAft>
                              <a:defRPr kern="1200">
                                <a:solidFill>
                                  <a:schemeClr val="tx1"/>
                                </a:solidFill>
                                <a:latin typeface="Arial" pitchFamily="-111" charset="0"/>
                                <a:ea typeface="+mn-ea"/>
                                <a:cs typeface="+mn-cs"/>
                              </a:defRPr>
                            </a:lvl2pPr>
                            <a:lvl3pPr marL="914400" algn="l" rtl="0" eaLnBrk="0" fontAlgn="base" hangingPunct="0">
                              <a:spcBef>
                                <a:spcPct val="0"/>
                              </a:spcBef>
                              <a:spcAft>
                                <a:spcPct val="0"/>
                              </a:spcAft>
                              <a:defRPr kern="1200">
                                <a:solidFill>
                                  <a:schemeClr val="tx1"/>
                                </a:solidFill>
                                <a:latin typeface="Arial" pitchFamily="-111" charset="0"/>
                                <a:ea typeface="+mn-ea"/>
                                <a:cs typeface="+mn-cs"/>
                              </a:defRPr>
                            </a:lvl3pPr>
                            <a:lvl4pPr marL="1371600" algn="l" rtl="0" eaLnBrk="0" fontAlgn="base" hangingPunct="0">
                              <a:spcBef>
                                <a:spcPct val="0"/>
                              </a:spcBef>
                              <a:spcAft>
                                <a:spcPct val="0"/>
                              </a:spcAft>
                              <a:defRPr kern="1200">
                                <a:solidFill>
                                  <a:schemeClr val="tx1"/>
                                </a:solidFill>
                                <a:latin typeface="Arial" pitchFamily="-111" charset="0"/>
                                <a:ea typeface="+mn-ea"/>
                                <a:cs typeface="+mn-cs"/>
                              </a:defRPr>
                            </a:lvl4pPr>
                            <a:lvl5pPr marL="1828800" algn="l" rtl="0" eaLnBrk="0" fontAlgn="base" hangingPunct="0">
                              <a:spcBef>
                                <a:spcPct val="0"/>
                              </a:spcBef>
                              <a:spcAft>
                                <a:spcPct val="0"/>
                              </a:spcAft>
                              <a:defRPr kern="1200">
                                <a:solidFill>
                                  <a:schemeClr val="tx1"/>
                                </a:solidFill>
                                <a:latin typeface="Arial" pitchFamily="-111" charset="0"/>
                                <a:ea typeface="+mn-ea"/>
                                <a:cs typeface="+mn-cs"/>
                              </a:defRPr>
                            </a:lvl5pPr>
                            <a:lvl6pPr marL="2286000" algn="l" defTabSz="457200" rtl="0" eaLnBrk="1" latinLnBrk="0" hangingPunct="1">
                              <a:defRPr kern="1200">
                                <a:solidFill>
                                  <a:schemeClr val="tx1"/>
                                </a:solidFill>
                                <a:latin typeface="Arial" pitchFamily="-111" charset="0"/>
                                <a:ea typeface="+mn-ea"/>
                                <a:cs typeface="+mn-cs"/>
                              </a:defRPr>
                            </a:lvl6pPr>
                            <a:lvl7pPr marL="2743200" algn="l" defTabSz="457200" rtl="0" eaLnBrk="1" latinLnBrk="0" hangingPunct="1">
                              <a:defRPr kern="1200">
                                <a:solidFill>
                                  <a:schemeClr val="tx1"/>
                                </a:solidFill>
                                <a:latin typeface="Arial" pitchFamily="-111" charset="0"/>
                                <a:ea typeface="+mn-ea"/>
                                <a:cs typeface="+mn-cs"/>
                              </a:defRPr>
                            </a:lvl7pPr>
                            <a:lvl8pPr marL="3200400" algn="l" defTabSz="457200" rtl="0" eaLnBrk="1" latinLnBrk="0" hangingPunct="1">
                              <a:defRPr kern="1200">
                                <a:solidFill>
                                  <a:schemeClr val="tx1"/>
                                </a:solidFill>
                                <a:latin typeface="Arial" pitchFamily="-111" charset="0"/>
                                <a:ea typeface="+mn-ea"/>
                                <a:cs typeface="+mn-cs"/>
                              </a:defRPr>
                            </a:lvl8pPr>
                            <a:lvl9pPr marL="3657600" algn="l" defTabSz="457200" rtl="0" eaLnBrk="1" latinLnBrk="0" hangingPunct="1">
                              <a:defRPr kern="1200">
                                <a:solidFill>
                                  <a:schemeClr val="tx1"/>
                                </a:solidFill>
                                <a:latin typeface="Arial" pitchFamily="-111" charset="0"/>
                                <a:ea typeface="+mn-ea"/>
                                <a:cs typeface="+mn-cs"/>
                              </a:defRPr>
                            </a:lvl9pPr>
                          </a:lstStyle>
                          <a:p>
                            <a:endParaRPr lang="en-US"/>
                          </a:p>
                        </a:txBody>
                        <a:useSpRect/>
                      </a:txSp>
                    </a:sp>
                    <a:sp>
                      <a:nvSpPr>
                        <a:cNvPr id="13323" name="Text Box 13"/>
                        <a:cNvSpPr txBox="1">
                          <a:spLocks noChangeArrowheads="1"/>
                        </a:cNvSpPr>
                      </a:nvSpPr>
                      <a:spPr bwMode="auto">
                        <a:xfrm rot="17768693">
                          <a:off x="1984322" y="2223100"/>
                          <a:ext cx="1365250" cy="366713"/>
                        </a:xfrm>
                        <a:prstGeom prst="rect">
                          <a:avLst/>
                        </a:prstGeom>
                        <a:noFill/>
                        <a:ln w="9525">
                          <a:noFill/>
                          <a:miter lim="800000"/>
                          <a:headEnd/>
                          <a:tailEnd/>
                        </a:ln>
                      </a:spPr>
                      <a:txSp>
                        <a:txBody>
                          <a:bodyPr wrap="none">
                            <a:prstTxWarp prst="textNoShape">
                              <a:avLst/>
                            </a:prstTxWarp>
                            <a:spAutoFit/>
                          </a:bodyPr>
                          <a:lstStyle>
                            <a:defPPr>
                              <a:defRPr lang="en-US"/>
                            </a:defPPr>
                            <a:lvl1pPr algn="l" rtl="0" eaLnBrk="0" fontAlgn="base" hangingPunct="0">
                              <a:spcBef>
                                <a:spcPct val="0"/>
                              </a:spcBef>
                              <a:spcAft>
                                <a:spcPct val="0"/>
                              </a:spcAft>
                              <a:defRPr kern="1200">
                                <a:solidFill>
                                  <a:schemeClr val="tx1"/>
                                </a:solidFill>
                                <a:latin typeface="Arial" pitchFamily="-111" charset="0"/>
                                <a:ea typeface="+mn-ea"/>
                                <a:cs typeface="+mn-cs"/>
                              </a:defRPr>
                            </a:lvl1pPr>
                            <a:lvl2pPr marL="457200" algn="l" rtl="0" eaLnBrk="0" fontAlgn="base" hangingPunct="0">
                              <a:spcBef>
                                <a:spcPct val="0"/>
                              </a:spcBef>
                              <a:spcAft>
                                <a:spcPct val="0"/>
                              </a:spcAft>
                              <a:defRPr kern="1200">
                                <a:solidFill>
                                  <a:schemeClr val="tx1"/>
                                </a:solidFill>
                                <a:latin typeface="Arial" pitchFamily="-111" charset="0"/>
                                <a:ea typeface="+mn-ea"/>
                                <a:cs typeface="+mn-cs"/>
                              </a:defRPr>
                            </a:lvl2pPr>
                            <a:lvl3pPr marL="914400" algn="l" rtl="0" eaLnBrk="0" fontAlgn="base" hangingPunct="0">
                              <a:spcBef>
                                <a:spcPct val="0"/>
                              </a:spcBef>
                              <a:spcAft>
                                <a:spcPct val="0"/>
                              </a:spcAft>
                              <a:defRPr kern="1200">
                                <a:solidFill>
                                  <a:schemeClr val="tx1"/>
                                </a:solidFill>
                                <a:latin typeface="Arial" pitchFamily="-111" charset="0"/>
                                <a:ea typeface="+mn-ea"/>
                                <a:cs typeface="+mn-cs"/>
                              </a:defRPr>
                            </a:lvl3pPr>
                            <a:lvl4pPr marL="1371600" algn="l" rtl="0" eaLnBrk="0" fontAlgn="base" hangingPunct="0">
                              <a:spcBef>
                                <a:spcPct val="0"/>
                              </a:spcBef>
                              <a:spcAft>
                                <a:spcPct val="0"/>
                              </a:spcAft>
                              <a:defRPr kern="1200">
                                <a:solidFill>
                                  <a:schemeClr val="tx1"/>
                                </a:solidFill>
                                <a:latin typeface="Arial" pitchFamily="-111" charset="0"/>
                                <a:ea typeface="+mn-ea"/>
                                <a:cs typeface="+mn-cs"/>
                              </a:defRPr>
                            </a:lvl4pPr>
                            <a:lvl5pPr marL="1828800" algn="l" rtl="0" eaLnBrk="0" fontAlgn="base" hangingPunct="0">
                              <a:spcBef>
                                <a:spcPct val="0"/>
                              </a:spcBef>
                              <a:spcAft>
                                <a:spcPct val="0"/>
                              </a:spcAft>
                              <a:defRPr kern="1200">
                                <a:solidFill>
                                  <a:schemeClr val="tx1"/>
                                </a:solidFill>
                                <a:latin typeface="Arial" pitchFamily="-111" charset="0"/>
                                <a:ea typeface="+mn-ea"/>
                                <a:cs typeface="+mn-cs"/>
                              </a:defRPr>
                            </a:lvl5pPr>
                            <a:lvl6pPr marL="2286000" algn="l" defTabSz="457200" rtl="0" eaLnBrk="1" latinLnBrk="0" hangingPunct="1">
                              <a:defRPr kern="1200">
                                <a:solidFill>
                                  <a:schemeClr val="tx1"/>
                                </a:solidFill>
                                <a:latin typeface="Arial" pitchFamily="-111" charset="0"/>
                                <a:ea typeface="+mn-ea"/>
                                <a:cs typeface="+mn-cs"/>
                              </a:defRPr>
                            </a:lvl6pPr>
                            <a:lvl7pPr marL="2743200" algn="l" defTabSz="457200" rtl="0" eaLnBrk="1" latinLnBrk="0" hangingPunct="1">
                              <a:defRPr kern="1200">
                                <a:solidFill>
                                  <a:schemeClr val="tx1"/>
                                </a:solidFill>
                                <a:latin typeface="Arial" pitchFamily="-111" charset="0"/>
                                <a:ea typeface="+mn-ea"/>
                                <a:cs typeface="+mn-cs"/>
                              </a:defRPr>
                            </a:lvl7pPr>
                            <a:lvl8pPr marL="3200400" algn="l" defTabSz="457200" rtl="0" eaLnBrk="1" latinLnBrk="0" hangingPunct="1">
                              <a:defRPr kern="1200">
                                <a:solidFill>
                                  <a:schemeClr val="tx1"/>
                                </a:solidFill>
                                <a:latin typeface="Arial" pitchFamily="-111" charset="0"/>
                                <a:ea typeface="+mn-ea"/>
                                <a:cs typeface="+mn-cs"/>
                              </a:defRPr>
                            </a:lvl8pPr>
                            <a:lvl9pPr marL="3657600" algn="l" defTabSz="457200" rtl="0" eaLnBrk="1" latinLnBrk="0" hangingPunct="1">
                              <a:defRPr kern="1200">
                                <a:solidFill>
                                  <a:schemeClr val="tx1"/>
                                </a:solidFill>
                                <a:latin typeface="Arial" pitchFamily="-111" charset="0"/>
                                <a:ea typeface="+mn-ea"/>
                                <a:cs typeface="+mn-cs"/>
                              </a:defRPr>
                            </a:lvl9pPr>
                          </a:lstStyle>
                          <a:p>
                            <a:r>
                              <a:rPr lang="en-US" dirty="0"/>
                              <a:t>Photometer</a:t>
                            </a:r>
                          </a:p>
                        </a:txBody>
                        <a:useSpRect/>
                      </a:txSp>
                    </a:sp>
                    <a:sp>
                      <a:nvSpPr>
                        <a:cNvPr id="13324" name="Text Box 14"/>
                        <a:cNvSpPr txBox="1">
                          <a:spLocks noChangeArrowheads="1"/>
                        </a:cNvSpPr>
                      </a:nvSpPr>
                      <a:spPr bwMode="auto">
                        <a:xfrm>
                          <a:off x="1158970" y="5159101"/>
                          <a:ext cx="1247775" cy="304800"/>
                        </a:xfrm>
                        <a:prstGeom prst="rect">
                          <a:avLst/>
                        </a:prstGeom>
                        <a:noFill/>
                        <a:ln w="9525">
                          <a:noFill/>
                          <a:miter lim="800000"/>
                          <a:headEnd/>
                          <a:tailEnd/>
                        </a:ln>
                      </a:spPr>
                      <a:txSp>
                        <a:txBody>
                          <a:bodyPr wrap="none">
                            <a:prstTxWarp prst="textNoShape">
                              <a:avLst/>
                            </a:prstTxWarp>
                            <a:spAutoFit/>
                          </a:bodyPr>
                          <a:lstStyle>
                            <a:defPPr>
                              <a:defRPr lang="en-US"/>
                            </a:defPPr>
                            <a:lvl1pPr algn="l" rtl="0" eaLnBrk="0" fontAlgn="base" hangingPunct="0">
                              <a:spcBef>
                                <a:spcPct val="0"/>
                              </a:spcBef>
                              <a:spcAft>
                                <a:spcPct val="0"/>
                              </a:spcAft>
                              <a:defRPr kern="1200">
                                <a:solidFill>
                                  <a:schemeClr val="tx1"/>
                                </a:solidFill>
                                <a:latin typeface="Arial" pitchFamily="-111" charset="0"/>
                                <a:ea typeface="+mn-ea"/>
                                <a:cs typeface="+mn-cs"/>
                              </a:defRPr>
                            </a:lvl1pPr>
                            <a:lvl2pPr marL="457200" algn="l" rtl="0" eaLnBrk="0" fontAlgn="base" hangingPunct="0">
                              <a:spcBef>
                                <a:spcPct val="0"/>
                              </a:spcBef>
                              <a:spcAft>
                                <a:spcPct val="0"/>
                              </a:spcAft>
                              <a:defRPr kern="1200">
                                <a:solidFill>
                                  <a:schemeClr val="tx1"/>
                                </a:solidFill>
                                <a:latin typeface="Arial" pitchFamily="-111" charset="0"/>
                                <a:ea typeface="+mn-ea"/>
                                <a:cs typeface="+mn-cs"/>
                              </a:defRPr>
                            </a:lvl2pPr>
                            <a:lvl3pPr marL="914400" algn="l" rtl="0" eaLnBrk="0" fontAlgn="base" hangingPunct="0">
                              <a:spcBef>
                                <a:spcPct val="0"/>
                              </a:spcBef>
                              <a:spcAft>
                                <a:spcPct val="0"/>
                              </a:spcAft>
                              <a:defRPr kern="1200">
                                <a:solidFill>
                                  <a:schemeClr val="tx1"/>
                                </a:solidFill>
                                <a:latin typeface="Arial" pitchFamily="-111" charset="0"/>
                                <a:ea typeface="+mn-ea"/>
                                <a:cs typeface="+mn-cs"/>
                              </a:defRPr>
                            </a:lvl3pPr>
                            <a:lvl4pPr marL="1371600" algn="l" rtl="0" eaLnBrk="0" fontAlgn="base" hangingPunct="0">
                              <a:spcBef>
                                <a:spcPct val="0"/>
                              </a:spcBef>
                              <a:spcAft>
                                <a:spcPct val="0"/>
                              </a:spcAft>
                              <a:defRPr kern="1200">
                                <a:solidFill>
                                  <a:schemeClr val="tx1"/>
                                </a:solidFill>
                                <a:latin typeface="Arial" pitchFamily="-111" charset="0"/>
                                <a:ea typeface="+mn-ea"/>
                                <a:cs typeface="+mn-cs"/>
                              </a:defRPr>
                            </a:lvl4pPr>
                            <a:lvl5pPr marL="1828800" algn="l" rtl="0" eaLnBrk="0" fontAlgn="base" hangingPunct="0">
                              <a:spcBef>
                                <a:spcPct val="0"/>
                              </a:spcBef>
                              <a:spcAft>
                                <a:spcPct val="0"/>
                              </a:spcAft>
                              <a:defRPr kern="1200">
                                <a:solidFill>
                                  <a:schemeClr val="tx1"/>
                                </a:solidFill>
                                <a:latin typeface="Arial" pitchFamily="-111" charset="0"/>
                                <a:ea typeface="+mn-ea"/>
                                <a:cs typeface="+mn-cs"/>
                              </a:defRPr>
                            </a:lvl5pPr>
                            <a:lvl6pPr marL="2286000" algn="l" defTabSz="457200" rtl="0" eaLnBrk="1" latinLnBrk="0" hangingPunct="1">
                              <a:defRPr kern="1200">
                                <a:solidFill>
                                  <a:schemeClr val="tx1"/>
                                </a:solidFill>
                                <a:latin typeface="Arial" pitchFamily="-111" charset="0"/>
                                <a:ea typeface="+mn-ea"/>
                                <a:cs typeface="+mn-cs"/>
                              </a:defRPr>
                            </a:lvl6pPr>
                            <a:lvl7pPr marL="2743200" algn="l" defTabSz="457200" rtl="0" eaLnBrk="1" latinLnBrk="0" hangingPunct="1">
                              <a:defRPr kern="1200">
                                <a:solidFill>
                                  <a:schemeClr val="tx1"/>
                                </a:solidFill>
                                <a:latin typeface="Arial" pitchFamily="-111" charset="0"/>
                                <a:ea typeface="+mn-ea"/>
                                <a:cs typeface="+mn-cs"/>
                              </a:defRPr>
                            </a:lvl7pPr>
                            <a:lvl8pPr marL="3200400" algn="l" defTabSz="457200" rtl="0" eaLnBrk="1" latinLnBrk="0" hangingPunct="1">
                              <a:defRPr kern="1200">
                                <a:solidFill>
                                  <a:schemeClr val="tx1"/>
                                </a:solidFill>
                                <a:latin typeface="Arial" pitchFamily="-111" charset="0"/>
                                <a:ea typeface="+mn-ea"/>
                                <a:cs typeface="+mn-cs"/>
                              </a:defRPr>
                            </a:lvl8pPr>
                            <a:lvl9pPr marL="3657600" algn="l" defTabSz="457200" rtl="0" eaLnBrk="1" latinLnBrk="0" hangingPunct="1">
                              <a:defRPr kern="1200">
                                <a:solidFill>
                                  <a:schemeClr val="tx1"/>
                                </a:solidFill>
                                <a:latin typeface="Arial" pitchFamily="-111" charset="0"/>
                                <a:ea typeface="+mn-ea"/>
                                <a:cs typeface="+mn-cs"/>
                              </a:defRPr>
                            </a:lvl9pPr>
                          </a:lstStyle>
                          <a:p>
                            <a:r>
                              <a:rPr lang="en-US" sz="1400" dirty="0"/>
                              <a:t>Star Trackers</a:t>
                            </a:r>
                          </a:p>
                        </a:txBody>
                        <a:useSpRect/>
                      </a:txSp>
                    </a:sp>
                    <a:sp>
                      <a:nvSpPr>
                        <a:cNvPr id="13325" name="Text Box 15"/>
                        <a:cNvSpPr txBox="1">
                          <a:spLocks noChangeArrowheads="1"/>
                        </a:cNvSpPr>
                      </a:nvSpPr>
                      <a:spPr bwMode="auto">
                        <a:xfrm>
                          <a:off x="5791200" y="5548312"/>
                          <a:ext cx="620683" cy="338554"/>
                        </a:xfrm>
                        <a:prstGeom prst="rect">
                          <a:avLst/>
                        </a:prstGeom>
                        <a:noFill/>
                        <a:ln w="9525">
                          <a:noFill/>
                          <a:miter lim="800000"/>
                          <a:headEnd/>
                          <a:tailEnd/>
                        </a:ln>
                      </a:spPr>
                      <a:txSp>
                        <a:txBody>
                          <a:bodyPr wrap="none">
                            <a:prstTxWarp prst="textNoShape">
                              <a:avLst/>
                            </a:prstTxWarp>
                            <a:spAutoFit/>
                          </a:bodyPr>
                          <a:lstStyle>
                            <a:defPPr>
                              <a:defRPr lang="en-US"/>
                            </a:defPPr>
                            <a:lvl1pPr algn="l" rtl="0" eaLnBrk="0" fontAlgn="base" hangingPunct="0">
                              <a:spcBef>
                                <a:spcPct val="0"/>
                              </a:spcBef>
                              <a:spcAft>
                                <a:spcPct val="0"/>
                              </a:spcAft>
                              <a:defRPr kern="1200">
                                <a:solidFill>
                                  <a:schemeClr val="tx1"/>
                                </a:solidFill>
                                <a:latin typeface="Arial" pitchFamily="-111" charset="0"/>
                                <a:ea typeface="+mn-ea"/>
                                <a:cs typeface="+mn-cs"/>
                              </a:defRPr>
                            </a:lvl1pPr>
                            <a:lvl2pPr marL="457200" algn="l" rtl="0" eaLnBrk="0" fontAlgn="base" hangingPunct="0">
                              <a:spcBef>
                                <a:spcPct val="0"/>
                              </a:spcBef>
                              <a:spcAft>
                                <a:spcPct val="0"/>
                              </a:spcAft>
                              <a:defRPr kern="1200">
                                <a:solidFill>
                                  <a:schemeClr val="tx1"/>
                                </a:solidFill>
                                <a:latin typeface="Arial" pitchFamily="-111" charset="0"/>
                                <a:ea typeface="+mn-ea"/>
                                <a:cs typeface="+mn-cs"/>
                              </a:defRPr>
                            </a:lvl2pPr>
                            <a:lvl3pPr marL="914400" algn="l" rtl="0" eaLnBrk="0" fontAlgn="base" hangingPunct="0">
                              <a:spcBef>
                                <a:spcPct val="0"/>
                              </a:spcBef>
                              <a:spcAft>
                                <a:spcPct val="0"/>
                              </a:spcAft>
                              <a:defRPr kern="1200">
                                <a:solidFill>
                                  <a:schemeClr val="tx1"/>
                                </a:solidFill>
                                <a:latin typeface="Arial" pitchFamily="-111" charset="0"/>
                                <a:ea typeface="+mn-ea"/>
                                <a:cs typeface="+mn-cs"/>
                              </a:defRPr>
                            </a:lvl3pPr>
                            <a:lvl4pPr marL="1371600" algn="l" rtl="0" eaLnBrk="0" fontAlgn="base" hangingPunct="0">
                              <a:spcBef>
                                <a:spcPct val="0"/>
                              </a:spcBef>
                              <a:spcAft>
                                <a:spcPct val="0"/>
                              </a:spcAft>
                              <a:defRPr kern="1200">
                                <a:solidFill>
                                  <a:schemeClr val="tx1"/>
                                </a:solidFill>
                                <a:latin typeface="Arial" pitchFamily="-111" charset="0"/>
                                <a:ea typeface="+mn-ea"/>
                                <a:cs typeface="+mn-cs"/>
                              </a:defRPr>
                            </a:lvl4pPr>
                            <a:lvl5pPr marL="1828800" algn="l" rtl="0" eaLnBrk="0" fontAlgn="base" hangingPunct="0">
                              <a:spcBef>
                                <a:spcPct val="0"/>
                              </a:spcBef>
                              <a:spcAft>
                                <a:spcPct val="0"/>
                              </a:spcAft>
                              <a:defRPr kern="1200">
                                <a:solidFill>
                                  <a:schemeClr val="tx1"/>
                                </a:solidFill>
                                <a:latin typeface="Arial" pitchFamily="-111" charset="0"/>
                                <a:ea typeface="+mn-ea"/>
                                <a:cs typeface="+mn-cs"/>
                              </a:defRPr>
                            </a:lvl5pPr>
                            <a:lvl6pPr marL="2286000" algn="l" defTabSz="457200" rtl="0" eaLnBrk="1" latinLnBrk="0" hangingPunct="1">
                              <a:defRPr kern="1200">
                                <a:solidFill>
                                  <a:schemeClr val="tx1"/>
                                </a:solidFill>
                                <a:latin typeface="Arial" pitchFamily="-111" charset="0"/>
                                <a:ea typeface="+mn-ea"/>
                                <a:cs typeface="+mn-cs"/>
                              </a:defRPr>
                            </a:lvl6pPr>
                            <a:lvl7pPr marL="2743200" algn="l" defTabSz="457200" rtl="0" eaLnBrk="1" latinLnBrk="0" hangingPunct="1">
                              <a:defRPr kern="1200">
                                <a:solidFill>
                                  <a:schemeClr val="tx1"/>
                                </a:solidFill>
                                <a:latin typeface="Arial" pitchFamily="-111" charset="0"/>
                                <a:ea typeface="+mn-ea"/>
                                <a:cs typeface="+mn-cs"/>
                              </a:defRPr>
                            </a:lvl7pPr>
                            <a:lvl8pPr marL="3200400" algn="l" defTabSz="457200" rtl="0" eaLnBrk="1" latinLnBrk="0" hangingPunct="1">
                              <a:defRPr kern="1200">
                                <a:solidFill>
                                  <a:schemeClr val="tx1"/>
                                </a:solidFill>
                                <a:latin typeface="Arial" pitchFamily="-111" charset="0"/>
                                <a:ea typeface="+mn-ea"/>
                                <a:cs typeface="+mn-cs"/>
                              </a:defRPr>
                            </a:lvl8pPr>
                            <a:lvl9pPr marL="3657600" algn="l" defTabSz="457200" rtl="0" eaLnBrk="1" latinLnBrk="0" hangingPunct="1">
                              <a:defRPr kern="1200">
                                <a:solidFill>
                                  <a:schemeClr val="tx1"/>
                                </a:solidFill>
                                <a:latin typeface="Arial" pitchFamily="-111" charset="0"/>
                                <a:ea typeface="+mn-ea"/>
                                <a:cs typeface="+mn-cs"/>
                              </a:defRPr>
                            </a:lvl9pPr>
                          </a:lstStyle>
                          <a:p>
                            <a:r>
                              <a:rPr lang="en-US" sz="1600"/>
                              <a:t>HGA</a:t>
                            </a:r>
                          </a:p>
                        </a:txBody>
                        <a:useSpRect/>
                      </a:txSp>
                    </a:sp>
                    <a:sp>
                      <a:nvSpPr>
                        <a:cNvPr id="13326" name="Text Box 16"/>
                        <a:cNvSpPr txBox="1">
                          <a:spLocks noChangeArrowheads="1"/>
                        </a:cNvSpPr>
                      </a:nvSpPr>
                      <a:spPr bwMode="auto">
                        <a:xfrm>
                          <a:off x="6248400" y="3973512"/>
                          <a:ext cx="1202623" cy="307777"/>
                        </a:xfrm>
                        <a:prstGeom prst="rect">
                          <a:avLst/>
                        </a:prstGeom>
                        <a:noFill/>
                        <a:ln w="9525">
                          <a:noFill/>
                          <a:miter lim="800000"/>
                          <a:headEnd/>
                          <a:tailEnd/>
                        </a:ln>
                      </a:spPr>
                      <a:txSp>
                        <a:txBody>
                          <a:bodyPr wrap="none">
                            <a:prstTxWarp prst="textNoShape">
                              <a:avLst/>
                            </a:prstTxWarp>
                            <a:spAutoFit/>
                          </a:bodyPr>
                          <a:lstStyle>
                            <a:defPPr>
                              <a:defRPr lang="en-US"/>
                            </a:defPPr>
                            <a:lvl1pPr algn="l" rtl="0" eaLnBrk="0" fontAlgn="base" hangingPunct="0">
                              <a:spcBef>
                                <a:spcPct val="0"/>
                              </a:spcBef>
                              <a:spcAft>
                                <a:spcPct val="0"/>
                              </a:spcAft>
                              <a:defRPr kern="1200">
                                <a:solidFill>
                                  <a:schemeClr val="tx1"/>
                                </a:solidFill>
                                <a:latin typeface="Arial" pitchFamily="-111" charset="0"/>
                                <a:ea typeface="+mn-ea"/>
                                <a:cs typeface="+mn-cs"/>
                              </a:defRPr>
                            </a:lvl1pPr>
                            <a:lvl2pPr marL="457200" algn="l" rtl="0" eaLnBrk="0" fontAlgn="base" hangingPunct="0">
                              <a:spcBef>
                                <a:spcPct val="0"/>
                              </a:spcBef>
                              <a:spcAft>
                                <a:spcPct val="0"/>
                              </a:spcAft>
                              <a:defRPr kern="1200">
                                <a:solidFill>
                                  <a:schemeClr val="tx1"/>
                                </a:solidFill>
                                <a:latin typeface="Arial" pitchFamily="-111" charset="0"/>
                                <a:ea typeface="+mn-ea"/>
                                <a:cs typeface="+mn-cs"/>
                              </a:defRPr>
                            </a:lvl2pPr>
                            <a:lvl3pPr marL="914400" algn="l" rtl="0" eaLnBrk="0" fontAlgn="base" hangingPunct="0">
                              <a:spcBef>
                                <a:spcPct val="0"/>
                              </a:spcBef>
                              <a:spcAft>
                                <a:spcPct val="0"/>
                              </a:spcAft>
                              <a:defRPr kern="1200">
                                <a:solidFill>
                                  <a:schemeClr val="tx1"/>
                                </a:solidFill>
                                <a:latin typeface="Arial" pitchFamily="-111" charset="0"/>
                                <a:ea typeface="+mn-ea"/>
                                <a:cs typeface="+mn-cs"/>
                              </a:defRPr>
                            </a:lvl3pPr>
                            <a:lvl4pPr marL="1371600" algn="l" rtl="0" eaLnBrk="0" fontAlgn="base" hangingPunct="0">
                              <a:spcBef>
                                <a:spcPct val="0"/>
                              </a:spcBef>
                              <a:spcAft>
                                <a:spcPct val="0"/>
                              </a:spcAft>
                              <a:defRPr kern="1200">
                                <a:solidFill>
                                  <a:schemeClr val="tx1"/>
                                </a:solidFill>
                                <a:latin typeface="Arial" pitchFamily="-111" charset="0"/>
                                <a:ea typeface="+mn-ea"/>
                                <a:cs typeface="+mn-cs"/>
                              </a:defRPr>
                            </a:lvl4pPr>
                            <a:lvl5pPr marL="1828800" algn="l" rtl="0" eaLnBrk="0" fontAlgn="base" hangingPunct="0">
                              <a:spcBef>
                                <a:spcPct val="0"/>
                              </a:spcBef>
                              <a:spcAft>
                                <a:spcPct val="0"/>
                              </a:spcAft>
                              <a:defRPr kern="1200">
                                <a:solidFill>
                                  <a:schemeClr val="tx1"/>
                                </a:solidFill>
                                <a:latin typeface="Arial" pitchFamily="-111" charset="0"/>
                                <a:ea typeface="+mn-ea"/>
                                <a:cs typeface="+mn-cs"/>
                              </a:defRPr>
                            </a:lvl5pPr>
                            <a:lvl6pPr marL="2286000" algn="l" defTabSz="457200" rtl="0" eaLnBrk="1" latinLnBrk="0" hangingPunct="1">
                              <a:defRPr kern="1200">
                                <a:solidFill>
                                  <a:schemeClr val="tx1"/>
                                </a:solidFill>
                                <a:latin typeface="Arial" pitchFamily="-111" charset="0"/>
                                <a:ea typeface="+mn-ea"/>
                                <a:cs typeface="+mn-cs"/>
                              </a:defRPr>
                            </a:lvl6pPr>
                            <a:lvl7pPr marL="2743200" algn="l" defTabSz="457200" rtl="0" eaLnBrk="1" latinLnBrk="0" hangingPunct="1">
                              <a:defRPr kern="1200">
                                <a:solidFill>
                                  <a:schemeClr val="tx1"/>
                                </a:solidFill>
                                <a:latin typeface="Arial" pitchFamily="-111" charset="0"/>
                                <a:ea typeface="+mn-ea"/>
                                <a:cs typeface="+mn-cs"/>
                              </a:defRPr>
                            </a:lvl7pPr>
                            <a:lvl8pPr marL="3200400" algn="l" defTabSz="457200" rtl="0" eaLnBrk="1" latinLnBrk="0" hangingPunct="1">
                              <a:defRPr kern="1200">
                                <a:solidFill>
                                  <a:schemeClr val="tx1"/>
                                </a:solidFill>
                                <a:latin typeface="Arial" pitchFamily="-111" charset="0"/>
                                <a:ea typeface="+mn-ea"/>
                                <a:cs typeface="+mn-cs"/>
                              </a:defRPr>
                            </a:lvl8pPr>
                            <a:lvl9pPr marL="3657600" algn="l" defTabSz="457200" rtl="0" eaLnBrk="1" latinLnBrk="0" hangingPunct="1">
                              <a:defRPr kern="1200">
                                <a:solidFill>
                                  <a:schemeClr val="tx1"/>
                                </a:solidFill>
                                <a:latin typeface="Arial" pitchFamily="-111" charset="0"/>
                                <a:ea typeface="+mn-ea"/>
                                <a:cs typeface="+mn-cs"/>
                              </a:defRPr>
                            </a:lvl9pPr>
                          </a:lstStyle>
                          <a:p>
                            <a:r>
                              <a:rPr lang="en-US" sz="1400" dirty="0"/>
                              <a:t>Solar </a:t>
                            </a:r>
                            <a:r>
                              <a:rPr lang="en-US" sz="1400" dirty="0" smtClean="0"/>
                              <a:t>Panels</a:t>
                            </a:r>
                            <a:endParaRPr lang="en-US" sz="1400" dirty="0"/>
                          </a:p>
                        </a:txBody>
                        <a:useSpRect/>
                      </a:txSp>
                    </a:sp>
                    <a:sp>
                      <a:nvSpPr>
                        <a:cNvPr id="13327" name="Text Box 17"/>
                        <a:cNvSpPr txBox="1">
                          <a:spLocks noChangeArrowheads="1"/>
                        </a:cNvSpPr>
                      </a:nvSpPr>
                      <a:spPr bwMode="auto">
                        <a:xfrm>
                          <a:off x="3124200" y="5878512"/>
                          <a:ext cx="768350" cy="366713"/>
                        </a:xfrm>
                        <a:prstGeom prst="rect">
                          <a:avLst/>
                        </a:prstGeom>
                        <a:noFill/>
                        <a:ln w="9525">
                          <a:noFill/>
                          <a:miter lim="800000"/>
                          <a:headEnd/>
                          <a:tailEnd/>
                        </a:ln>
                      </a:spPr>
                      <a:txSp>
                        <a:txBody>
                          <a:bodyPr wrap="none">
                            <a:prstTxWarp prst="textNoShape">
                              <a:avLst/>
                            </a:prstTxWarp>
                            <a:spAutoFit/>
                          </a:bodyPr>
                          <a:lstStyle>
                            <a:defPPr>
                              <a:defRPr lang="en-US"/>
                            </a:defPPr>
                            <a:lvl1pPr algn="l" rtl="0" eaLnBrk="0" fontAlgn="base" hangingPunct="0">
                              <a:spcBef>
                                <a:spcPct val="0"/>
                              </a:spcBef>
                              <a:spcAft>
                                <a:spcPct val="0"/>
                              </a:spcAft>
                              <a:defRPr kern="1200">
                                <a:solidFill>
                                  <a:schemeClr val="tx1"/>
                                </a:solidFill>
                                <a:latin typeface="Arial" pitchFamily="-111" charset="0"/>
                                <a:ea typeface="+mn-ea"/>
                                <a:cs typeface="+mn-cs"/>
                              </a:defRPr>
                            </a:lvl1pPr>
                            <a:lvl2pPr marL="457200" algn="l" rtl="0" eaLnBrk="0" fontAlgn="base" hangingPunct="0">
                              <a:spcBef>
                                <a:spcPct val="0"/>
                              </a:spcBef>
                              <a:spcAft>
                                <a:spcPct val="0"/>
                              </a:spcAft>
                              <a:defRPr kern="1200">
                                <a:solidFill>
                                  <a:schemeClr val="tx1"/>
                                </a:solidFill>
                                <a:latin typeface="Arial" pitchFamily="-111" charset="0"/>
                                <a:ea typeface="+mn-ea"/>
                                <a:cs typeface="+mn-cs"/>
                              </a:defRPr>
                            </a:lvl2pPr>
                            <a:lvl3pPr marL="914400" algn="l" rtl="0" eaLnBrk="0" fontAlgn="base" hangingPunct="0">
                              <a:spcBef>
                                <a:spcPct val="0"/>
                              </a:spcBef>
                              <a:spcAft>
                                <a:spcPct val="0"/>
                              </a:spcAft>
                              <a:defRPr kern="1200">
                                <a:solidFill>
                                  <a:schemeClr val="tx1"/>
                                </a:solidFill>
                                <a:latin typeface="Arial" pitchFamily="-111" charset="0"/>
                                <a:ea typeface="+mn-ea"/>
                                <a:cs typeface="+mn-cs"/>
                              </a:defRPr>
                            </a:lvl3pPr>
                            <a:lvl4pPr marL="1371600" algn="l" rtl="0" eaLnBrk="0" fontAlgn="base" hangingPunct="0">
                              <a:spcBef>
                                <a:spcPct val="0"/>
                              </a:spcBef>
                              <a:spcAft>
                                <a:spcPct val="0"/>
                              </a:spcAft>
                              <a:defRPr kern="1200">
                                <a:solidFill>
                                  <a:schemeClr val="tx1"/>
                                </a:solidFill>
                                <a:latin typeface="Arial" pitchFamily="-111" charset="0"/>
                                <a:ea typeface="+mn-ea"/>
                                <a:cs typeface="+mn-cs"/>
                              </a:defRPr>
                            </a:lvl4pPr>
                            <a:lvl5pPr marL="1828800" algn="l" rtl="0" eaLnBrk="0" fontAlgn="base" hangingPunct="0">
                              <a:spcBef>
                                <a:spcPct val="0"/>
                              </a:spcBef>
                              <a:spcAft>
                                <a:spcPct val="0"/>
                              </a:spcAft>
                              <a:defRPr kern="1200">
                                <a:solidFill>
                                  <a:schemeClr val="tx1"/>
                                </a:solidFill>
                                <a:latin typeface="Arial" pitchFamily="-111" charset="0"/>
                                <a:ea typeface="+mn-ea"/>
                                <a:cs typeface="+mn-cs"/>
                              </a:defRPr>
                            </a:lvl5pPr>
                            <a:lvl6pPr marL="2286000" algn="l" defTabSz="457200" rtl="0" eaLnBrk="1" latinLnBrk="0" hangingPunct="1">
                              <a:defRPr kern="1200">
                                <a:solidFill>
                                  <a:schemeClr val="tx1"/>
                                </a:solidFill>
                                <a:latin typeface="Arial" pitchFamily="-111" charset="0"/>
                                <a:ea typeface="+mn-ea"/>
                                <a:cs typeface="+mn-cs"/>
                              </a:defRPr>
                            </a:lvl6pPr>
                            <a:lvl7pPr marL="2743200" algn="l" defTabSz="457200" rtl="0" eaLnBrk="1" latinLnBrk="0" hangingPunct="1">
                              <a:defRPr kern="1200">
                                <a:solidFill>
                                  <a:schemeClr val="tx1"/>
                                </a:solidFill>
                                <a:latin typeface="Arial" pitchFamily="-111" charset="0"/>
                                <a:ea typeface="+mn-ea"/>
                                <a:cs typeface="+mn-cs"/>
                              </a:defRPr>
                            </a:lvl7pPr>
                            <a:lvl8pPr marL="3200400" algn="l" defTabSz="457200" rtl="0" eaLnBrk="1" latinLnBrk="0" hangingPunct="1">
                              <a:defRPr kern="1200">
                                <a:solidFill>
                                  <a:schemeClr val="tx1"/>
                                </a:solidFill>
                                <a:latin typeface="Arial" pitchFamily="-111" charset="0"/>
                                <a:ea typeface="+mn-ea"/>
                                <a:cs typeface="+mn-cs"/>
                              </a:defRPr>
                            </a:lvl8pPr>
                            <a:lvl9pPr marL="3657600" algn="l" defTabSz="457200" rtl="0" eaLnBrk="1" latinLnBrk="0" hangingPunct="1">
                              <a:defRPr kern="1200">
                                <a:solidFill>
                                  <a:schemeClr val="tx1"/>
                                </a:solidFill>
                                <a:latin typeface="Arial" pitchFamily="-111" charset="0"/>
                                <a:ea typeface="+mn-ea"/>
                                <a:cs typeface="+mn-cs"/>
                              </a:defRPr>
                            </a:lvl9pPr>
                          </a:lstStyle>
                          <a:p>
                            <a:r>
                              <a:rPr lang="en-US" dirty="0"/>
                              <a:t>KCBs</a:t>
                            </a:r>
                          </a:p>
                        </a:txBody>
                        <a:useSpRect/>
                      </a:txSp>
                    </a:sp>
                    <a:sp>
                      <a:nvSpPr>
                        <a:cNvPr id="13328" name="TextBox 17"/>
                        <a:cNvSpPr txBox="1">
                          <a:spLocks noChangeArrowheads="1"/>
                        </a:cNvSpPr>
                      </a:nvSpPr>
                      <a:spPr bwMode="auto">
                        <a:xfrm>
                          <a:off x="5669819" y="4808026"/>
                          <a:ext cx="583914" cy="338554"/>
                        </a:xfrm>
                        <a:prstGeom prst="rect">
                          <a:avLst/>
                        </a:prstGeom>
                        <a:noFill/>
                        <a:ln w="9525">
                          <a:noFill/>
                          <a:miter lim="800000"/>
                          <a:headEnd/>
                          <a:tailEnd/>
                        </a:ln>
                      </a:spPr>
                      <a:txSp>
                        <a:txBody>
                          <a:bodyPr wrap="none">
                            <a:prstTxWarp prst="textNoShape">
                              <a:avLst/>
                            </a:prstTxWarp>
                            <a:spAutoFit/>
                          </a:bodyPr>
                          <a:lstStyle>
                            <a:defPPr>
                              <a:defRPr lang="en-US"/>
                            </a:defPPr>
                            <a:lvl1pPr algn="l" rtl="0" eaLnBrk="0" fontAlgn="base" hangingPunct="0">
                              <a:spcBef>
                                <a:spcPct val="0"/>
                              </a:spcBef>
                              <a:spcAft>
                                <a:spcPct val="0"/>
                              </a:spcAft>
                              <a:defRPr kern="1200">
                                <a:solidFill>
                                  <a:schemeClr val="tx1"/>
                                </a:solidFill>
                                <a:latin typeface="Arial" pitchFamily="-111" charset="0"/>
                                <a:ea typeface="+mn-ea"/>
                                <a:cs typeface="+mn-cs"/>
                              </a:defRPr>
                            </a:lvl1pPr>
                            <a:lvl2pPr marL="457200" algn="l" rtl="0" eaLnBrk="0" fontAlgn="base" hangingPunct="0">
                              <a:spcBef>
                                <a:spcPct val="0"/>
                              </a:spcBef>
                              <a:spcAft>
                                <a:spcPct val="0"/>
                              </a:spcAft>
                              <a:defRPr kern="1200">
                                <a:solidFill>
                                  <a:schemeClr val="tx1"/>
                                </a:solidFill>
                                <a:latin typeface="Arial" pitchFamily="-111" charset="0"/>
                                <a:ea typeface="+mn-ea"/>
                                <a:cs typeface="+mn-cs"/>
                              </a:defRPr>
                            </a:lvl2pPr>
                            <a:lvl3pPr marL="914400" algn="l" rtl="0" eaLnBrk="0" fontAlgn="base" hangingPunct="0">
                              <a:spcBef>
                                <a:spcPct val="0"/>
                              </a:spcBef>
                              <a:spcAft>
                                <a:spcPct val="0"/>
                              </a:spcAft>
                              <a:defRPr kern="1200">
                                <a:solidFill>
                                  <a:schemeClr val="tx1"/>
                                </a:solidFill>
                                <a:latin typeface="Arial" pitchFamily="-111" charset="0"/>
                                <a:ea typeface="+mn-ea"/>
                                <a:cs typeface="+mn-cs"/>
                              </a:defRPr>
                            </a:lvl3pPr>
                            <a:lvl4pPr marL="1371600" algn="l" rtl="0" eaLnBrk="0" fontAlgn="base" hangingPunct="0">
                              <a:spcBef>
                                <a:spcPct val="0"/>
                              </a:spcBef>
                              <a:spcAft>
                                <a:spcPct val="0"/>
                              </a:spcAft>
                              <a:defRPr kern="1200">
                                <a:solidFill>
                                  <a:schemeClr val="tx1"/>
                                </a:solidFill>
                                <a:latin typeface="Arial" pitchFamily="-111" charset="0"/>
                                <a:ea typeface="+mn-ea"/>
                                <a:cs typeface="+mn-cs"/>
                              </a:defRPr>
                            </a:lvl4pPr>
                            <a:lvl5pPr marL="1828800" algn="l" rtl="0" eaLnBrk="0" fontAlgn="base" hangingPunct="0">
                              <a:spcBef>
                                <a:spcPct val="0"/>
                              </a:spcBef>
                              <a:spcAft>
                                <a:spcPct val="0"/>
                              </a:spcAft>
                              <a:defRPr kern="1200">
                                <a:solidFill>
                                  <a:schemeClr val="tx1"/>
                                </a:solidFill>
                                <a:latin typeface="Arial" pitchFamily="-111" charset="0"/>
                                <a:ea typeface="+mn-ea"/>
                                <a:cs typeface="+mn-cs"/>
                              </a:defRPr>
                            </a:lvl5pPr>
                            <a:lvl6pPr marL="2286000" algn="l" defTabSz="457200" rtl="0" eaLnBrk="1" latinLnBrk="0" hangingPunct="1">
                              <a:defRPr kern="1200">
                                <a:solidFill>
                                  <a:schemeClr val="tx1"/>
                                </a:solidFill>
                                <a:latin typeface="Arial" pitchFamily="-111" charset="0"/>
                                <a:ea typeface="+mn-ea"/>
                                <a:cs typeface="+mn-cs"/>
                              </a:defRPr>
                            </a:lvl6pPr>
                            <a:lvl7pPr marL="2743200" algn="l" defTabSz="457200" rtl="0" eaLnBrk="1" latinLnBrk="0" hangingPunct="1">
                              <a:defRPr kern="1200">
                                <a:solidFill>
                                  <a:schemeClr val="tx1"/>
                                </a:solidFill>
                                <a:latin typeface="Arial" pitchFamily="-111" charset="0"/>
                                <a:ea typeface="+mn-ea"/>
                                <a:cs typeface="+mn-cs"/>
                              </a:defRPr>
                            </a:lvl7pPr>
                            <a:lvl8pPr marL="3200400" algn="l" defTabSz="457200" rtl="0" eaLnBrk="1" latinLnBrk="0" hangingPunct="1">
                              <a:defRPr kern="1200">
                                <a:solidFill>
                                  <a:schemeClr val="tx1"/>
                                </a:solidFill>
                                <a:latin typeface="Arial" pitchFamily="-111" charset="0"/>
                                <a:ea typeface="+mn-ea"/>
                                <a:cs typeface="+mn-cs"/>
                              </a:defRPr>
                            </a:lvl8pPr>
                            <a:lvl9pPr marL="3657600" algn="l" defTabSz="457200" rtl="0" eaLnBrk="1" latinLnBrk="0" hangingPunct="1">
                              <a:defRPr kern="1200">
                                <a:solidFill>
                                  <a:schemeClr val="tx1"/>
                                </a:solidFill>
                                <a:latin typeface="Arial" pitchFamily="-111" charset="0"/>
                                <a:ea typeface="+mn-ea"/>
                                <a:cs typeface="+mn-cs"/>
                              </a:defRPr>
                            </a:lvl9pPr>
                          </a:lstStyle>
                          <a:p>
                            <a:r>
                              <a:rPr lang="en-US" sz="1600"/>
                              <a:t>LGA</a:t>
                            </a:r>
                          </a:p>
                        </a:txBody>
                        <a:useSpRect/>
                      </a:txSp>
                    </a:sp>
                    <a:cxnSp>
                      <a:nvCxnSpPr>
                        <a:cNvPr id="13329" name="Straight Connector 19"/>
                        <a:cNvCxnSpPr>
                          <a:cxnSpLocks noChangeShapeType="1"/>
                        </a:cNvCxnSpPr>
                      </a:nvCxnSpPr>
                      <a:spPr bwMode="auto">
                        <a:xfrm flipV="1">
                          <a:off x="4603893" y="4978130"/>
                          <a:ext cx="1065926" cy="204124"/>
                        </a:xfrm>
                        <a:prstGeom prst="line">
                          <a:avLst/>
                        </a:prstGeom>
                        <a:noFill/>
                        <a:ln w="9525">
                          <a:solidFill>
                            <a:schemeClr val="tx1"/>
                          </a:solidFill>
                          <a:round/>
                          <a:headEnd type="triangle" w="med" len="med"/>
                          <a:tailEnd/>
                        </a:ln>
                      </a:spPr>
                    </a:cxnSp>
                    <a:sp>
                      <a:nvSpPr>
                        <a:cNvPr id="18" name="Left Brace 17"/>
                        <a:cNvSpPr/>
                      </a:nvSpPr>
                      <a:spPr bwMode="auto">
                        <a:xfrm rot="1826946">
                          <a:off x="2757216" y="949679"/>
                          <a:ext cx="755088" cy="3203737"/>
                        </a:xfrm>
                        <a:prstGeom prst="leftBrace">
                          <a:avLst/>
                        </a:prstGeom>
                        <a:noFill/>
                        <a:ln w="9525" cap="flat" cmpd="sng" algn="ctr">
                          <a:solidFill>
                            <a:schemeClr val="tx1"/>
                          </a:solidFill>
                          <a:prstDash val="solid"/>
                          <a:round/>
                          <a:headEnd type="none" w="med" len="med"/>
                          <a:tailEnd type="none" w="med" len="med"/>
                        </a:ln>
                        <a:effectLst/>
                      </a:spPr>
                      <a:txSp>
                        <a:txBody>
                          <a:bodyPr vert="horz" wrap="square" lIns="91440" tIns="45720" rIns="91440" bIns="45720" numCol="1" rtlCol="0" anchor="t" anchorCtr="0" compatLnSpc="1">
                            <a:prstTxWarp prst="textNoShape">
                              <a:avLst/>
                            </a:prstTxWarp>
                          </a:bodyPr>
                          <a:lstStyle>
                            <a:defPPr>
                              <a:defRPr lang="en-US"/>
                            </a:defPPr>
                            <a:lvl1pPr algn="l" rtl="0" eaLnBrk="0" fontAlgn="base" hangingPunct="0">
                              <a:spcBef>
                                <a:spcPct val="0"/>
                              </a:spcBef>
                              <a:spcAft>
                                <a:spcPct val="0"/>
                              </a:spcAft>
                              <a:defRPr kern="1200">
                                <a:solidFill>
                                  <a:schemeClr val="tx1"/>
                                </a:solidFill>
                                <a:latin typeface="Arial" pitchFamily="-111" charset="0"/>
                                <a:ea typeface="+mn-ea"/>
                                <a:cs typeface="+mn-cs"/>
                              </a:defRPr>
                            </a:lvl1pPr>
                            <a:lvl2pPr marL="457200" algn="l" rtl="0" eaLnBrk="0" fontAlgn="base" hangingPunct="0">
                              <a:spcBef>
                                <a:spcPct val="0"/>
                              </a:spcBef>
                              <a:spcAft>
                                <a:spcPct val="0"/>
                              </a:spcAft>
                              <a:defRPr kern="1200">
                                <a:solidFill>
                                  <a:schemeClr val="tx1"/>
                                </a:solidFill>
                                <a:latin typeface="Arial" pitchFamily="-111" charset="0"/>
                                <a:ea typeface="+mn-ea"/>
                                <a:cs typeface="+mn-cs"/>
                              </a:defRPr>
                            </a:lvl2pPr>
                            <a:lvl3pPr marL="914400" algn="l" rtl="0" eaLnBrk="0" fontAlgn="base" hangingPunct="0">
                              <a:spcBef>
                                <a:spcPct val="0"/>
                              </a:spcBef>
                              <a:spcAft>
                                <a:spcPct val="0"/>
                              </a:spcAft>
                              <a:defRPr kern="1200">
                                <a:solidFill>
                                  <a:schemeClr val="tx1"/>
                                </a:solidFill>
                                <a:latin typeface="Arial" pitchFamily="-111" charset="0"/>
                                <a:ea typeface="+mn-ea"/>
                                <a:cs typeface="+mn-cs"/>
                              </a:defRPr>
                            </a:lvl3pPr>
                            <a:lvl4pPr marL="1371600" algn="l" rtl="0" eaLnBrk="0" fontAlgn="base" hangingPunct="0">
                              <a:spcBef>
                                <a:spcPct val="0"/>
                              </a:spcBef>
                              <a:spcAft>
                                <a:spcPct val="0"/>
                              </a:spcAft>
                              <a:defRPr kern="1200">
                                <a:solidFill>
                                  <a:schemeClr val="tx1"/>
                                </a:solidFill>
                                <a:latin typeface="Arial" pitchFamily="-111" charset="0"/>
                                <a:ea typeface="+mn-ea"/>
                                <a:cs typeface="+mn-cs"/>
                              </a:defRPr>
                            </a:lvl4pPr>
                            <a:lvl5pPr marL="1828800" algn="l" rtl="0" eaLnBrk="0" fontAlgn="base" hangingPunct="0">
                              <a:spcBef>
                                <a:spcPct val="0"/>
                              </a:spcBef>
                              <a:spcAft>
                                <a:spcPct val="0"/>
                              </a:spcAft>
                              <a:defRPr kern="1200">
                                <a:solidFill>
                                  <a:schemeClr val="tx1"/>
                                </a:solidFill>
                                <a:latin typeface="Arial" pitchFamily="-111" charset="0"/>
                                <a:ea typeface="+mn-ea"/>
                                <a:cs typeface="+mn-cs"/>
                              </a:defRPr>
                            </a:lvl5pPr>
                            <a:lvl6pPr marL="2286000" algn="l" defTabSz="457200" rtl="0" eaLnBrk="1" latinLnBrk="0" hangingPunct="1">
                              <a:defRPr kern="1200">
                                <a:solidFill>
                                  <a:schemeClr val="tx1"/>
                                </a:solidFill>
                                <a:latin typeface="Arial" pitchFamily="-111" charset="0"/>
                                <a:ea typeface="+mn-ea"/>
                                <a:cs typeface="+mn-cs"/>
                              </a:defRPr>
                            </a:lvl6pPr>
                            <a:lvl7pPr marL="2743200" algn="l" defTabSz="457200" rtl="0" eaLnBrk="1" latinLnBrk="0" hangingPunct="1">
                              <a:defRPr kern="1200">
                                <a:solidFill>
                                  <a:schemeClr val="tx1"/>
                                </a:solidFill>
                                <a:latin typeface="Arial" pitchFamily="-111" charset="0"/>
                                <a:ea typeface="+mn-ea"/>
                                <a:cs typeface="+mn-cs"/>
                              </a:defRPr>
                            </a:lvl7pPr>
                            <a:lvl8pPr marL="3200400" algn="l" defTabSz="457200" rtl="0" eaLnBrk="1" latinLnBrk="0" hangingPunct="1">
                              <a:defRPr kern="1200">
                                <a:solidFill>
                                  <a:schemeClr val="tx1"/>
                                </a:solidFill>
                                <a:latin typeface="Arial" pitchFamily="-111" charset="0"/>
                                <a:ea typeface="+mn-ea"/>
                                <a:cs typeface="+mn-cs"/>
                              </a:defRPr>
                            </a:lvl8pPr>
                            <a:lvl9pPr marL="3657600" algn="l" defTabSz="457200" rtl="0" eaLnBrk="1" latinLnBrk="0" hangingPunct="1">
                              <a:defRPr kern="1200">
                                <a:solidFill>
                                  <a:schemeClr val="tx1"/>
                                </a:solidFill>
                                <a:latin typeface="Arial" pitchFamily="-111" charset="0"/>
                                <a:ea typeface="+mn-ea"/>
                                <a:cs typeface="+mn-cs"/>
                              </a:defRPr>
                            </a:lvl9pPr>
                          </a:lstStyle>
                          <a:p>
                            <a:pPr marL="0" marR="0" indent="0" algn="l" defTabSz="914400" rtl="0" eaLnBrk="0" fontAlgn="base" latinLnBrk="0" hangingPunct="0">
                              <a:lnSpc>
                                <a:spcPct val="100000"/>
                              </a:lnSpc>
                              <a:spcBef>
                                <a:spcPct val="0"/>
                              </a:spcBef>
                              <a:spcAft>
                                <a:spcPct val="0"/>
                              </a:spcAft>
                              <a:buClrTx/>
                              <a:buSzTx/>
                              <a:buFontTx/>
                              <a:buNone/>
                              <a:tabLst/>
                            </a:pPr>
                            <a:endParaRPr kumimoji="0" lang="en-US" sz="1800" b="0" i="0" u="none" strike="noStrike" cap="none" normalizeH="0" baseline="0">
                              <a:ln>
                                <a:noFill/>
                              </a:ln>
                              <a:solidFill>
                                <a:schemeClr val="tx1"/>
                              </a:solidFill>
                              <a:effectLst/>
                              <a:latin typeface="Arial" charset="0"/>
                            </a:endParaRPr>
                          </a:p>
                        </a:txBody>
                        <a:useSpRect/>
                      </a:txSp>
                    </a:sp>
                    <a:sp>
                      <a:nvSpPr>
                        <a:cNvPr id="19" name="Left Brace 18"/>
                        <a:cNvSpPr/>
                      </a:nvSpPr>
                      <a:spPr bwMode="auto">
                        <a:xfrm rot="1963599">
                          <a:off x="1981107" y="3932151"/>
                          <a:ext cx="332392" cy="934926"/>
                        </a:xfrm>
                        <a:prstGeom prst="leftBrace">
                          <a:avLst/>
                        </a:prstGeom>
                        <a:solidFill>
                          <a:srgbClr val="FFFFFF"/>
                        </a:solidFill>
                        <a:ln w="9525" cap="flat" cmpd="sng" algn="ctr">
                          <a:solidFill>
                            <a:schemeClr val="tx1"/>
                          </a:solidFill>
                          <a:prstDash val="solid"/>
                          <a:round/>
                          <a:headEnd type="none" w="med" len="med"/>
                          <a:tailEnd type="none" w="med" len="med"/>
                        </a:ln>
                        <a:effectLst/>
                      </a:spPr>
                      <a:txSp>
                        <a:txBody>
                          <a:bodyPr vert="horz" wrap="square" lIns="91440" tIns="45720" rIns="91440" bIns="45720" numCol="1" rtlCol="0" anchor="t" anchorCtr="0" compatLnSpc="1">
                            <a:prstTxWarp prst="textNoShape">
                              <a:avLst/>
                            </a:prstTxWarp>
                          </a:bodyPr>
                          <a:lstStyle>
                            <a:defPPr>
                              <a:defRPr lang="en-US"/>
                            </a:defPPr>
                            <a:lvl1pPr algn="l" rtl="0" eaLnBrk="0" fontAlgn="base" hangingPunct="0">
                              <a:spcBef>
                                <a:spcPct val="0"/>
                              </a:spcBef>
                              <a:spcAft>
                                <a:spcPct val="0"/>
                              </a:spcAft>
                              <a:defRPr kern="1200">
                                <a:solidFill>
                                  <a:schemeClr val="tx1"/>
                                </a:solidFill>
                                <a:latin typeface="Arial" pitchFamily="-111" charset="0"/>
                                <a:ea typeface="+mn-ea"/>
                                <a:cs typeface="+mn-cs"/>
                              </a:defRPr>
                            </a:lvl1pPr>
                            <a:lvl2pPr marL="457200" algn="l" rtl="0" eaLnBrk="0" fontAlgn="base" hangingPunct="0">
                              <a:spcBef>
                                <a:spcPct val="0"/>
                              </a:spcBef>
                              <a:spcAft>
                                <a:spcPct val="0"/>
                              </a:spcAft>
                              <a:defRPr kern="1200">
                                <a:solidFill>
                                  <a:schemeClr val="tx1"/>
                                </a:solidFill>
                                <a:latin typeface="Arial" pitchFamily="-111" charset="0"/>
                                <a:ea typeface="+mn-ea"/>
                                <a:cs typeface="+mn-cs"/>
                              </a:defRPr>
                            </a:lvl2pPr>
                            <a:lvl3pPr marL="914400" algn="l" rtl="0" eaLnBrk="0" fontAlgn="base" hangingPunct="0">
                              <a:spcBef>
                                <a:spcPct val="0"/>
                              </a:spcBef>
                              <a:spcAft>
                                <a:spcPct val="0"/>
                              </a:spcAft>
                              <a:defRPr kern="1200">
                                <a:solidFill>
                                  <a:schemeClr val="tx1"/>
                                </a:solidFill>
                                <a:latin typeface="Arial" pitchFamily="-111" charset="0"/>
                                <a:ea typeface="+mn-ea"/>
                                <a:cs typeface="+mn-cs"/>
                              </a:defRPr>
                            </a:lvl3pPr>
                            <a:lvl4pPr marL="1371600" algn="l" rtl="0" eaLnBrk="0" fontAlgn="base" hangingPunct="0">
                              <a:spcBef>
                                <a:spcPct val="0"/>
                              </a:spcBef>
                              <a:spcAft>
                                <a:spcPct val="0"/>
                              </a:spcAft>
                              <a:defRPr kern="1200">
                                <a:solidFill>
                                  <a:schemeClr val="tx1"/>
                                </a:solidFill>
                                <a:latin typeface="Arial" pitchFamily="-111" charset="0"/>
                                <a:ea typeface="+mn-ea"/>
                                <a:cs typeface="+mn-cs"/>
                              </a:defRPr>
                            </a:lvl4pPr>
                            <a:lvl5pPr marL="1828800" algn="l" rtl="0" eaLnBrk="0" fontAlgn="base" hangingPunct="0">
                              <a:spcBef>
                                <a:spcPct val="0"/>
                              </a:spcBef>
                              <a:spcAft>
                                <a:spcPct val="0"/>
                              </a:spcAft>
                              <a:defRPr kern="1200">
                                <a:solidFill>
                                  <a:schemeClr val="tx1"/>
                                </a:solidFill>
                                <a:latin typeface="Arial" pitchFamily="-111" charset="0"/>
                                <a:ea typeface="+mn-ea"/>
                                <a:cs typeface="+mn-cs"/>
                              </a:defRPr>
                            </a:lvl5pPr>
                            <a:lvl6pPr marL="2286000" algn="l" defTabSz="457200" rtl="0" eaLnBrk="1" latinLnBrk="0" hangingPunct="1">
                              <a:defRPr kern="1200">
                                <a:solidFill>
                                  <a:schemeClr val="tx1"/>
                                </a:solidFill>
                                <a:latin typeface="Arial" pitchFamily="-111" charset="0"/>
                                <a:ea typeface="+mn-ea"/>
                                <a:cs typeface="+mn-cs"/>
                              </a:defRPr>
                            </a:lvl6pPr>
                            <a:lvl7pPr marL="2743200" algn="l" defTabSz="457200" rtl="0" eaLnBrk="1" latinLnBrk="0" hangingPunct="1">
                              <a:defRPr kern="1200">
                                <a:solidFill>
                                  <a:schemeClr val="tx1"/>
                                </a:solidFill>
                                <a:latin typeface="Arial" pitchFamily="-111" charset="0"/>
                                <a:ea typeface="+mn-ea"/>
                                <a:cs typeface="+mn-cs"/>
                              </a:defRPr>
                            </a:lvl7pPr>
                            <a:lvl8pPr marL="3200400" algn="l" defTabSz="457200" rtl="0" eaLnBrk="1" latinLnBrk="0" hangingPunct="1">
                              <a:defRPr kern="1200">
                                <a:solidFill>
                                  <a:schemeClr val="tx1"/>
                                </a:solidFill>
                                <a:latin typeface="Arial" pitchFamily="-111" charset="0"/>
                                <a:ea typeface="+mn-ea"/>
                                <a:cs typeface="+mn-cs"/>
                              </a:defRPr>
                            </a:lvl8pPr>
                            <a:lvl9pPr marL="3657600" algn="l" defTabSz="457200" rtl="0" eaLnBrk="1" latinLnBrk="0" hangingPunct="1">
                              <a:defRPr kern="1200">
                                <a:solidFill>
                                  <a:schemeClr val="tx1"/>
                                </a:solidFill>
                                <a:latin typeface="Arial" pitchFamily="-111" charset="0"/>
                                <a:ea typeface="+mn-ea"/>
                                <a:cs typeface="+mn-cs"/>
                              </a:defRPr>
                            </a:lvl9pPr>
                          </a:lstStyle>
                          <a:p>
                            <a:pPr marL="0" marR="0" indent="0" algn="l" defTabSz="914400" rtl="0" eaLnBrk="0" fontAlgn="base" latinLnBrk="0" hangingPunct="0">
                              <a:lnSpc>
                                <a:spcPct val="100000"/>
                              </a:lnSpc>
                              <a:spcBef>
                                <a:spcPct val="0"/>
                              </a:spcBef>
                              <a:spcAft>
                                <a:spcPct val="0"/>
                              </a:spcAft>
                              <a:buClrTx/>
                              <a:buSzTx/>
                              <a:buFontTx/>
                              <a:buNone/>
                              <a:tabLst/>
                            </a:pPr>
                            <a:endParaRPr kumimoji="0" lang="en-US" sz="1800" b="0" i="0" u="none" strike="noStrike" cap="none" normalizeH="0" baseline="0">
                              <a:ln>
                                <a:noFill/>
                              </a:ln>
                              <a:solidFill>
                                <a:schemeClr val="tx1"/>
                              </a:solidFill>
                              <a:effectLst/>
                              <a:latin typeface="Arial" charset="0"/>
                            </a:endParaRPr>
                          </a:p>
                        </a:txBody>
                        <a:useSpRect/>
                      </a:txSp>
                    </a:sp>
                    <a:sp>
                      <a:nvSpPr>
                        <a:cNvPr id="20" name="TextBox 19"/>
                        <a:cNvSpPr txBox="1"/>
                      </a:nvSpPr>
                      <a:spPr>
                        <a:xfrm rot="18143003">
                          <a:off x="1152384" y="3981198"/>
                          <a:ext cx="1288108" cy="369332"/>
                        </a:xfrm>
                        <a:prstGeom prst="rect">
                          <a:avLst/>
                        </a:prstGeom>
                        <a:noFill/>
                      </a:spPr>
                      <a:txSp>
                        <a:txBody>
                          <a:bodyPr wrap="square" rtlCol="0">
                            <a:spAutoFit/>
                          </a:bodyPr>
                          <a:lstStyle>
                            <a:defPPr>
                              <a:defRPr lang="en-US"/>
                            </a:defPPr>
                            <a:lvl1pPr algn="l" rtl="0" eaLnBrk="0" fontAlgn="base" hangingPunct="0">
                              <a:spcBef>
                                <a:spcPct val="0"/>
                              </a:spcBef>
                              <a:spcAft>
                                <a:spcPct val="0"/>
                              </a:spcAft>
                              <a:defRPr kern="1200">
                                <a:solidFill>
                                  <a:schemeClr val="tx1"/>
                                </a:solidFill>
                                <a:latin typeface="Arial" pitchFamily="-111" charset="0"/>
                                <a:ea typeface="+mn-ea"/>
                                <a:cs typeface="+mn-cs"/>
                              </a:defRPr>
                            </a:lvl1pPr>
                            <a:lvl2pPr marL="457200" algn="l" rtl="0" eaLnBrk="0" fontAlgn="base" hangingPunct="0">
                              <a:spcBef>
                                <a:spcPct val="0"/>
                              </a:spcBef>
                              <a:spcAft>
                                <a:spcPct val="0"/>
                              </a:spcAft>
                              <a:defRPr kern="1200">
                                <a:solidFill>
                                  <a:schemeClr val="tx1"/>
                                </a:solidFill>
                                <a:latin typeface="Arial" pitchFamily="-111" charset="0"/>
                                <a:ea typeface="+mn-ea"/>
                                <a:cs typeface="+mn-cs"/>
                              </a:defRPr>
                            </a:lvl2pPr>
                            <a:lvl3pPr marL="914400" algn="l" rtl="0" eaLnBrk="0" fontAlgn="base" hangingPunct="0">
                              <a:spcBef>
                                <a:spcPct val="0"/>
                              </a:spcBef>
                              <a:spcAft>
                                <a:spcPct val="0"/>
                              </a:spcAft>
                              <a:defRPr kern="1200">
                                <a:solidFill>
                                  <a:schemeClr val="tx1"/>
                                </a:solidFill>
                                <a:latin typeface="Arial" pitchFamily="-111" charset="0"/>
                                <a:ea typeface="+mn-ea"/>
                                <a:cs typeface="+mn-cs"/>
                              </a:defRPr>
                            </a:lvl3pPr>
                            <a:lvl4pPr marL="1371600" algn="l" rtl="0" eaLnBrk="0" fontAlgn="base" hangingPunct="0">
                              <a:spcBef>
                                <a:spcPct val="0"/>
                              </a:spcBef>
                              <a:spcAft>
                                <a:spcPct val="0"/>
                              </a:spcAft>
                              <a:defRPr kern="1200">
                                <a:solidFill>
                                  <a:schemeClr val="tx1"/>
                                </a:solidFill>
                                <a:latin typeface="Arial" pitchFamily="-111" charset="0"/>
                                <a:ea typeface="+mn-ea"/>
                                <a:cs typeface="+mn-cs"/>
                              </a:defRPr>
                            </a:lvl4pPr>
                            <a:lvl5pPr marL="1828800" algn="l" rtl="0" eaLnBrk="0" fontAlgn="base" hangingPunct="0">
                              <a:spcBef>
                                <a:spcPct val="0"/>
                              </a:spcBef>
                              <a:spcAft>
                                <a:spcPct val="0"/>
                              </a:spcAft>
                              <a:defRPr kern="1200">
                                <a:solidFill>
                                  <a:schemeClr val="tx1"/>
                                </a:solidFill>
                                <a:latin typeface="Arial" pitchFamily="-111" charset="0"/>
                                <a:ea typeface="+mn-ea"/>
                                <a:cs typeface="+mn-cs"/>
                              </a:defRPr>
                            </a:lvl5pPr>
                            <a:lvl6pPr marL="2286000" algn="l" defTabSz="457200" rtl="0" eaLnBrk="1" latinLnBrk="0" hangingPunct="1">
                              <a:defRPr kern="1200">
                                <a:solidFill>
                                  <a:schemeClr val="tx1"/>
                                </a:solidFill>
                                <a:latin typeface="Arial" pitchFamily="-111" charset="0"/>
                                <a:ea typeface="+mn-ea"/>
                                <a:cs typeface="+mn-cs"/>
                              </a:defRPr>
                            </a:lvl6pPr>
                            <a:lvl7pPr marL="2743200" algn="l" defTabSz="457200" rtl="0" eaLnBrk="1" latinLnBrk="0" hangingPunct="1">
                              <a:defRPr kern="1200">
                                <a:solidFill>
                                  <a:schemeClr val="tx1"/>
                                </a:solidFill>
                                <a:latin typeface="Arial" pitchFamily="-111" charset="0"/>
                                <a:ea typeface="+mn-ea"/>
                                <a:cs typeface="+mn-cs"/>
                              </a:defRPr>
                            </a:lvl7pPr>
                            <a:lvl8pPr marL="3200400" algn="l" defTabSz="457200" rtl="0" eaLnBrk="1" latinLnBrk="0" hangingPunct="1">
                              <a:defRPr kern="1200">
                                <a:solidFill>
                                  <a:schemeClr val="tx1"/>
                                </a:solidFill>
                                <a:latin typeface="Arial" pitchFamily="-111" charset="0"/>
                                <a:ea typeface="+mn-ea"/>
                                <a:cs typeface="+mn-cs"/>
                              </a:defRPr>
                            </a:lvl8pPr>
                            <a:lvl9pPr marL="3657600" algn="l" defTabSz="457200" rtl="0" eaLnBrk="1" latinLnBrk="0" hangingPunct="1">
                              <a:defRPr kern="1200">
                                <a:solidFill>
                                  <a:schemeClr val="tx1"/>
                                </a:solidFill>
                                <a:latin typeface="Arial" pitchFamily="-111" charset="0"/>
                                <a:ea typeface="+mn-ea"/>
                                <a:cs typeface="+mn-cs"/>
                              </a:defRPr>
                            </a:lvl9pPr>
                          </a:lstStyle>
                          <a:p>
                            <a:r>
                              <a:rPr lang="en-US" dirty="0" smtClean="0"/>
                              <a:t>Spacecraft</a:t>
                            </a:r>
                            <a:endParaRPr lang="en-US" dirty="0"/>
                          </a:p>
                        </a:txBody>
                        <a:useSpRect/>
                      </a:txSp>
                    </a:sp>
                  </a:grpSp>
                </lc:lockedCanvas>
              </a:graphicData>
            </a:graphic>
          </wp:inline>
        </w:drawing>
      </w:r>
    </w:p>
    <w:p w:rsidR="00404448" w:rsidRPr="003F451C" w:rsidRDefault="00404448" w:rsidP="00404448">
      <w:pPr>
        <w:pStyle w:val="Caption"/>
        <w:outlineLvl w:val="0"/>
      </w:pPr>
      <w:bookmarkStart w:id="16" w:name="_Ref201501965"/>
      <w:bookmarkStart w:id="17" w:name="_Toc322942232"/>
      <w:r>
        <w:t xml:space="preserve">Figure </w:t>
      </w:r>
      <w:fldSimple w:instr=" SEQ Figure \* ARABIC ">
        <w:r w:rsidR="000D2EB4">
          <w:rPr>
            <w:noProof/>
          </w:rPr>
          <w:t>2</w:t>
        </w:r>
      </w:fldSimple>
      <w:bookmarkEnd w:id="16"/>
      <w:r>
        <w:t xml:space="preserve">:  </w:t>
      </w:r>
      <w:r w:rsidR="004A3FBE" w:rsidRPr="004A3FBE">
        <w:rPr>
          <w:i/>
        </w:rPr>
        <w:t>Kepler</w:t>
      </w:r>
      <w:r>
        <w:t xml:space="preserve"> Flight System, showing integrated Photometer and Spacecraft</w:t>
      </w:r>
      <w:r w:rsidR="00614E04">
        <w:t>.  Reaction wheels are on the other side; one is visible just behind the HGA in this view.</w:t>
      </w:r>
      <w:bookmarkEnd w:id="17"/>
    </w:p>
    <w:p w:rsidR="00404448" w:rsidRDefault="00404448" w:rsidP="00404448">
      <w:pPr>
        <w:pStyle w:val="Heading3"/>
      </w:pPr>
      <w:bookmarkStart w:id="18" w:name="_Toc322942139"/>
      <w:r>
        <w:t>Spacecraft</w:t>
      </w:r>
      <w:bookmarkEnd w:id="18"/>
    </w:p>
    <w:p w:rsidR="00404448" w:rsidRPr="003F451C" w:rsidRDefault="00404448" w:rsidP="00404448">
      <w:r>
        <w:t xml:space="preserve">The Spacecraft is the hexagonal bus shown at the bottom of </w:t>
      </w:r>
      <w:r w:rsidR="004C78B9">
        <w:fldChar w:fldCharType="begin"/>
      </w:r>
      <w:r w:rsidR="00C903B6">
        <w:instrText xml:space="preserve"> REF _Ref201501965 \h </w:instrText>
      </w:r>
      <w:r w:rsidR="004C78B9">
        <w:fldChar w:fldCharType="separate"/>
      </w:r>
      <w:r w:rsidR="000D2EB4">
        <w:t xml:space="preserve">Figure </w:t>
      </w:r>
      <w:r w:rsidR="000D2EB4">
        <w:rPr>
          <w:noProof/>
        </w:rPr>
        <w:t>2</w:t>
      </w:r>
      <w:r w:rsidR="004C78B9">
        <w:fldChar w:fldCharType="end"/>
      </w:r>
      <w:r>
        <w:t xml:space="preserve">.  The conical objects on the left are the star trackers, which provide coarse attitude information; fine attitude information is provided by the Fine Guidance Sensors </w:t>
      </w:r>
      <w:r w:rsidR="00BF5AA2">
        <w:t>(FGS)</w:t>
      </w:r>
      <w:r w:rsidR="0068684D">
        <w:t>,</w:t>
      </w:r>
      <w:r w:rsidR="00BF5AA2">
        <w:t xml:space="preserve"> </w:t>
      </w:r>
      <w:r>
        <w:t xml:space="preserve">which are co-located with the Science CCDs inside the Photometer. </w:t>
      </w:r>
      <w:r w:rsidR="00410E5C">
        <w:t>The star trackers, FGS sensors, reaction wheels, and thrusters comprise the Attitude Determination and C</w:t>
      </w:r>
      <w:r w:rsidR="00282786">
        <w:t>ontrol System (ADCS).</w:t>
      </w:r>
      <w:r w:rsidR="00410E5C">
        <w:t xml:space="preserve"> </w:t>
      </w:r>
      <w:r>
        <w:t xml:space="preserve">The blue boxes in the middle panel are the redundant </w:t>
      </w:r>
      <w:r w:rsidR="004A3FBE" w:rsidRPr="004A3FBE">
        <w:rPr>
          <w:i/>
        </w:rPr>
        <w:t>Kepler</w:t>
      </w:r>
      <w:r>
        <w:t xml:space="preserve"> Control Boxes (KCBs).  </w:t>
      </w:r>
      <w:r w:rsidR="00EF1794">
        <w:t>The entire Ke</w:t>
      </w:r>
      <w:r w:rsidR="008C2160">
        <w:t>pler mission was flown on KCB</w:t>
      </w:r>
      <w:r w:rsidR="008E6388">
        <w:t>2</w:t>
      </w:r>
      <w:r w:rsidR="0003686C">
        <w:t xml:space="preserve">.  </w:t>
      </w:r>
      <w:r>
        <w:t>The active KCB controls the spacecraft, issues commands to the Photometer, receives pixel data and telemetry from the Photometer, and coadds pixels in the Science Data Accumulators (SDAs).  The coadded pixels of interest are stored in the Solid State Recorder (SSR), for later downlink over the High Gain Antenna (HGA).  The Low Gain Antenna (LGA) allows contact for most orientations of the Spacecraft, but at much lower data rates.  It is used for commanding, recovery from operational anomalies, transmitting housekeeping telemetry, and downlinking the Reference Pixels (</w:t>
      </w:r>
      <w:r w:rsidR="00E607E6">
        <w:t>§</w:t>
      </w:r>
      <w:r w:rsidR="004C78B9">
        <w:fldChar w:fldCharType="begin"/>
      </w:r>
      <w:r w:rsidR="00C903B6">
        <w:instrText xml:space="preserve"> REF _Ref208722655 \r \h </w:instrText>
      </w:r>
      <w:r w:rsidR="004C78B9">
        <w:fldChar w:fldCharType="separate"/>
      </w:r>
      <w:r w:rsidR="000D2EB4">
        <w:t>2.6.2.3</w:t>
      </w:r>
      <w:r w:rsidR="004C78B9">
        <w:fldChar w:fldCharType="end"/>
      </w:r>
      <w:r>
        <w:t>)</w:t>
      </w:r>
      <w:r w:rsidR="0068684D">
        <w:t>,</w:t>
      </w:r>
      <w:r>
        <w:t xml:space="preserve"> which monitor the health of the Photometer.  On the right panel is the parabolic HGA, and on bo</w:t>
      </w:r>
      <w:r w:rsidR="008820B0">
        <w:t xml:space="preserve">th right and left sides are </w:t>
      </w:r>
      <w:r>
        <w:t>the solar panels, which wrap around t</w:t>
      </w:r>
      <w:r w:rsidR="008820B0">
        <w:t>he telescope barrel</w:t>
      </w:r>
      <w:r>
        <w:t>.</w:t>
      </w:r>
      <w:r w:rsidR="008820B0">
        <w:t xml:space="preserve">  One of the </w:t>
      </w:r>
      <w:r w:rsidR="00993BB4">
        <w:t>redundant</w:t>
      </w:r>
      <w:r w:rsidR="00685FF9">
        <w:t xml:space="preserve"> set of</w:t>
      </w:r>
      <w:r w:rsidR="00993BB4">
        <w:t xml:space="preserve"> </w:t>
      </w:r>
      <w:r w:rsidR="009A6491">
        <w:t>Subsystem Interface Box</w:t>
      </w:r>
      <w:r w:rsidR="00685FF9">
        <w:t>es</w:t>
      </w:r>
      <w:r w:rsidR="0003686C">
        <w:t xml:space="preserve"> (SIB)</w:t>
      </w:r>
      <w:r w:rsidR="00AC003C">
        <w:t xml:space="preserve"> </w:t>
      </w:r>
      <w:r w:rsidR="00AC003C" w:rsidRPr="00AC003C">
        <w:t>provides thermal and power distribution control to all spacecraft subsystems</w:t>
      </w:r>
      <w:r w:rsidR="00AC003C">
        <w:t>, and collects a subset of spacecraft and photometer engineering data even when both KCBs are off.</w:t>
      </w:r>
    </w:p>
    <w:p w:rsidR="00404448" w:rsidRDefault="00404448" w:rsidP="00404448">
      <w:pPr>
        <w:pStyle w:val="Heading3"/>
      </w:pPr>
      <w:bookmarkStart w:id="19" w:name="_Toc322942140"/>
      <w:r>
        <w:t>Photometer</w:t>
      </w:r>
      <w:bookmarkEnd w:id="19"/>
    </w:p>
    <w:p w:rsidR="00404448" w:rsidRPr="00A140DA" w:rsidRDefault="00404448" w:rsidP="00404448"/>
    <w:p w:rsidR="00404448" w:rsidRDefault="000518AB" w:rsidP="00404448">
      <w:pPr>
        <w:keepNext/>
      </w:pPr>
      <w:r>
        <w:rPr>
          <w:noProof/>
        </w:rPr>
        <w:drawing>
          <wp:inline distT="0" distB="0" distL="0" distR="0">
            <wp:extent cx="5486400" cy="4437380"/>
            <wp:effectExtent l="25400" t="0" r="0" b="0"/>
            <wp:docPr id="8" name="P 6" descr="photometer_cross_s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6" descr="photometer_cross_sec"/>
                    <pic:cNvPicPr>
                      <a:picLocks noChangeAspect="1" noChangeArrowheads="1"/>
                    </pic:cNvPicPr>
                  </pic:nvPicPr>
                  <pic:blipFill>
                    <a:blip r:embed="rId15"/>
                    <a:srcRect/>
                    <a:stretch>
                      <a:fillRect/>
                    </a:stretch>
                  </pic:blipFill>
                  <pic:spPr bwMode="auto">
                    <a:xfrm>
                      <a:off x="0" y="0"/>
                      <a:ext cx="5486400" cy="4437380"/>
                    </a:xfrm>
                    <a:prstGeom prst="rect">
                      <a:avLst/>
                    </a:prstGeom>
                    <a:noFill/>
                    <a:ln w="9525">
                      <a:noFill/>
                      <a:miter lim="800000"/>
                      <a:headEnd/>
                      <a:tailEnd/>
                    </a:ln>
                  </pic:spPr>
                </pic:pic>
              </a:graphicData>
            </a:graphic>
          </wp:inline>
        </w:drawing>
      </w:r>
    </w:p>
    <w:p w:rsidR="00404448" w:rsidRDefault="00404448" w:rsidP="00404448">
      <w:pPr>
        <w:pStyle w:val="Caption"/>
        <w:outlineLvl w:val="0"/>
      </w:pPr>
      <w:bookmarkStart w:id="20" w:name="_Ref201502947"/>
      <w:bookmarkStart w:id="21" w:name="_Toc322942233"/>
      <w:r>
        <w:t xml:space="preserve">Figure </w:t>
      </w:r>
      <w:fldSimple w:instr=" SEQ Figure \* ARABIC ">
        <w:r w:rsidR="000D2EB4">
          <w:rPr>
            <w:noProof/>
          </w:rPr>
          <w:t>3</w:t>
        </w:r>
      </w:fldSimple>
      <w:bookmarkEnd w:id="20"/>
      <w:r>
        <w:t xml:space="preserve">:  </w:t>
      </w:r>
      <w:r w:rsidR="004A3FBE" w:rsidRPr="004A3FBE">
        <w:rPr>
          <w:i/>
        </w:rPr>
        <w:t>Kepler</w:t>
      </w:r>
      <w:r>
        <w:t xml:space="preserve"> Photometer Architecture.</w:t>
      </w:r>
      <w:bookmarkEnd w:id="21"/>
    </w:p>
    <w:p w:rsidR="00404448" w:rsidRPr="003F451C" w:rsidRDefault="00404448" w:rsidP="00404448"/>
    <w:p w:rsidR="00404448" w:rsidRDefault="00404448" w:rsidP="00404448">
      <w:pPr>
        <w:pStyle w:val="Heading3"/>
      </w:pPr>
      <w:bookmarkStart w:id="22" w:name="_Toc322942141"/>
      <w:r>
        <w:t>Telescope</w:t>
      </w:r>
      <w:bookmarkEnd w:id="22"/>
    </w:p>
    <w:p w:rsidR="00404448" w:rsidRDefault="00404448" w:rsidP="00404448">
      <w:r>
        <w:t xml:space="preserve">The </w:t>
      </w:r>
      <w:r w:rsidR="004A3FBE" w:rsidRPr="004A3FBE">
        <w:rPr>
          <w:i/>
        </w:rPr>
        <w:t>Kepler</w:t>
      </w:r>
      <w:r>
        <w:t xml:space="preserve"> telescope is a wide-field Schmidt telescope composed of the Schmidt Corrector Assembly (SCA) which forms the entrance aperture to the instrument, the spherical Primary Mirror Assembly (PMA), the sunshade, Upper and Lower Telescope Housings, focus mechanisms, heaters, and thermometers. The focus mechanisms were used during Commissioning to set the flight focus, but </w:t>
      </w:r>
      <w:r w:rsidR="0068684D">
        <w:t>were not used again</w:t>
      </w:r>
      <w:r>
        <w:t xml:space="preserve"> during the science mission.  Telescope components are shown in </w:t>
      </w:r>
      <w:r w:rsidR="004C78B9">
        <w:fldChar w:fldCharType="begin"/>
      </w:r>
      <w:r w:rsidR="00C903B6">
        <w:instrText xml:space="preserve"> REF _Ref201502947 \h </w:instrText>
      </w:r>
      <w:r w:rsidR="004C78B9">
        <w:fldChar w:fldCharType="separate"/>
      </w:r>
      <w:r w:rsidR="000D2EB4">
        <w:t xml:space="preserve">Figure </w:t>
      </w:r>
      <w:r w:rsidR="000D2EB4">
        <w:rPr>
          <w:noProof/>
        </w:rPr>
        <w:t>3</w:t>
      </w:r>
      <w:r w:rsidR="004C78B9">
        <w:fldChar w:fldCharType="end"/>
      </w:r>
      <w:r>
        <w:t>.</w:t>
      </w:r>
    </w:p>
    <w:p w:rsidR="00404448" w:rsidRDefault="00404448" w:rsidP="00404448">
      <w:pPr>
        <w:pStyle w:val="Heading3"/>
      </w:pPr>
      <w:bookmarkStart w:id="23" w:name="_Toc322942142"/>
      <w:r>
        <w:t>FPAA</w:t>
      </w:r>
      <w:bookmarkEnd w:id="23"/>
    </w:p>
    <w:p w:rsidR="00404448" w:rsidRDefault="00404448" w:rsidP="00404448">
      <w:r w:rsidRPr="00DD6CEB">
        <w:t xml:space="preserve">The </w:t>
      </w:r>
      <w:r>
        <w:t xml:space="preserve">Focal Plane Array Assembly </w:t>
      </w:r>
      <w:r w:rsidRPr="00DD6CEB">
        <w:t xml:space="preserve">consists of </w:t>
      </w:r>
      <w:r>
        <w:t>the Detector Array Assembly</w:t>
      </w:r>
      <w:r w:rsidR="0068684D">
        <w:t xml:space="preserve"> (DAA)</w:t>
      </w:r>
      <w:r>
        <w:t>, Local Detector El</w:t>
      </w:r>
      <w:r w:rsidRPr="00DD6CEB">
        <w:t xml:space="preserve">ectronics (LDE), </w:t>
      </w:r>
      <w:r>
        <w:t>the radiator, the LDE Power Supply</w:t>
      </w:r>
      <w:r w:rsidR="0068684D">
        <w:t xml:space="preserve"> (LPS)</w:t>
      </w:r>
      <w:r>
        <w:t xml:space="preserve">, and the “spider” which holds the Detector Array Assembly and LDE in place inside the telescope.   </w:t>
      </w:r>
      <w:r w:rsidR="004C78B9">
        <w:fldChar w:fldCharType="begin"/>
      </w:r>
      <w:r w:rsidR="00C903B6">
        <w:instrText xml:space="preserve"> REF _Ref205958436 \h </w:instrText>
      </w:r>
      <w:r w:rsidR="004C78B9">
        <w:fldChar w:fldCharType="separate"/>
      </w:r>
      <w:r w:rsidR="000D2EB4">
        <w:t xml:space="preserve">Figure </w:t>
      </w:r>
      <w:r w:rsidR="000D2EB4">
        <w:rPr>
          <w:noProof/>
        </w:rPr>
        <w:t>4</w:t>
      </w:r>
      <w:r w:rsidR="004C78B9">
        <w:fldChar w:fldCharType="end"/>
      </w:r>
      <w:r>
        <w:t xml:space="preserve"> shows the FPAA, with the exception of the LPS which is mounted on the S/C bus.  The DAA in turn consists of 21 s</w:t>
      </w:r>
      <w:r w:rsidRPr="00DD6CEB">
        <w:t xml:space="preserve">cience CCD modules </w:t>
      </w:r>
      <w:r>
        <w:t>and 4 FGS</w:t>
      </w:r>
      <w:r w:rsidRPr="00DD6CEB">
        <w:t xml:space="preserve"> CCD modules, all located on a c</w:t>
      </w:r>
      <w:r>
        <w:t>urved Invar substrate located near</w:t>
      </w:r>
      <w:r w:rsidRPr="00DD6CEB">
        <w:t xml:space="preserve"> the telescope image surface.  </w:t>
      </w:r>
      <w:r>
        <w:t>Field flattener lenses on each module map the spherical telescope image surface onto the flat CCD chips, and define the wavelength bandpass.  Each s</w:t>
      </w:r>
      <w:r w:rsidRPr="00DD6CEB">
        <w:t xml:space="preserve">cience module provides </w:t>
      </w:r>
      <w:r>
        <w:t xml:space="preserve">photosensitive pixels in </w:t>
      </w:r>
      <w:r w:rsidRPr="00DD6CEB">
        <w:t>a 2200 by 2048 pixel format</w:t>
      </w:r>
      <w:r>
        <w:t xml:space="preserve">.  The 21 modules each have 4 output channels, for </w:t>
      </w:r>
      <w:r w:rsidRPr="00DD6CEB">
        <w:t xml:space="preserve">a total of </w:t>
      </w:r>
      <w:r>
        <w:t xml:space="preserve">84 channels and </w:t>
      </w:r>
      <w:r w:rsidRPr="00DD6CEB">
        <w:t xml:space="preserve">94.6 million </w:t>
      </w:r>
      <w:r>
        <w:t xml:space="preserve">active </w:t>
      </w:r>
      <w:r w:rsidRPr="00DD6CEB">
        <w:t>pixels</w:t>
      </w:r>
      <w:r>
        <w:t xml:space="preserve"> that view the sky, with additio</w:t>
      </w:r>
      <w:r w:rsidR="005D42DD">
        <w:t>nal masked real</w:t>
      </w:r>
      <w:r>
        <w:t xml:space="preserve"> and virtual pixels for collateral data. </w:t>
      </w:r>
    </w:p>
    <w:p w:rsidR="00404448" w:rsidRDefault="00404448" w:rsidP="00404448">
      <w:r>
        <w:t>The LDE</w:t>
      </w:r>
      <w:r w:rsidRPr="00DD6CEB">
        <w:t xml:space="preserve"> internall</w:t>
      </w:r>
      <w:r>
        <w:t xml:space="preserve">y generates all the CCD clocks and </w:t>
      </w:r>
      <w:r w:rsidRPr="00DD6CEB">
        <w:t>bias voltages</w:t>
      </w:r>
      <w:r>
        <w:t xml:space="preserve">, </w:t>
      </w:r>
      <w:r w:rsidRPr="00DD6CEB">
        <w:t>video signal processing</w:t>
      </w:r>
      <w:r>
        <w:t xml:space="preserve">, and analog to digital conversion, as described in detail in </w:t>
      </w:r>
      <w:r w:rsidR="00E607E6">
        <w:t>§</w:t>
      </w:r>
      <w:r w:rsidR="004C78B9">
        <w:fldChar w:fldCharType="begin"/>
      </w:r>
      <w:r w:rsidR="00C903B6">
        <w:instrText xml:space="preserve"> REF _Ref108522333 \r \h </w:instrText>
      </w:r>
      <w:r w:rsidR="004C78B9">
        <w:fldChar w:fldCharType="separate"/>
      </w:r>
      <w:r w:rsidR="000D2EB4">
        <w:t>5</w:t>
      </w:r>
      <w:r w:rsidR="004C78B9">
        <w:fldChar w:fldCharType="end"/>
      </w:r>
      <w:r>
        <w:t>. Within the LDE, five electronic component assemblies (ECA) connect to the CCD flex circuit cable interface and to the motherboard.  Each ECA is composed of a Driver and an Acquisition Printed Wiring Assembly (PWA, colloquially called “boards”), and is labeled according to its drawing number from 500 to 504, or (in other documents) in sequential order from one side of the LDE to the other (ECA-1 to 5).  For example ECA-503 and ECA-4 refer to the same board pair.</w:t>
      </w:r>
      <w:r w:rsidRPr="008A10E5">
        <w:t xml:space="preserve"> </w:t>
      </w:r>
    </w:p>
    <w:p w:rsidR="00404448" w:rsidRPr="00DD6CEB" w:rsidRDefault="00404448" w:rsidP="00404448">
      <w:r w:rsidRPr="00DD6CEB">
        <w:t>The FPAA interfaces external to the Photometer optical cavity are limited to the LDE power supply (LPS) and the avionics electronics thermal control, data, command and telemetry components.  To accommodate the Schmidt telescope design, graphite composite structures suspend the FPAA at the telescope focal surface.</w:t>
      </w:r>
    </w:p>
    <w:p w:rsidR="00404448" w:rsidRDefault="004C78B9" w:rsidP="00404448">
      <w:pPr>
        <w:keepNext/>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7.95pt;height:376.2pt" filled="t">
            <v:imagedata r:id="rId16" o:title=""/>
          </v:shape>
        </w:pict>
      </w:r>
    </w:p>
    <w:p w:rsidR="00404448" w:rsidRPr="005A5781" w:rsidRDefault="00404448" w:rsidP="00404448">
      <w:pPr>
        <w:pStyle w:val="Caption"/>
        <w:outlineLvl w:val="0"/>
      </w:pPr>
      <w:bookmarkStart w:id="24" w:name="_Ref205958436"/>
      <w:bookmarkStart w:id="25" w:name="_Toc322942234"/>
      <w:r>
        <w:t xml:space="preserve">Figure </w:t>
      </w:r>
      <w:fldSimple w:instr=" SEQ Figure \* ARABIC ">
        <w:r w:rsidR="000D2EB4">
          <w:rPr>
            <w:noProof/>
          </w:rPr>
          <w:t>4</w:t>
        </w:r>
      </w:fldSimple>
      <w:bookmarkEnd w:id="24"/>
      <w:r>
        <w:t>:  Focal Plane Array Assembly, showing spider mount to telescope and radiator.</w:t>
      </w:r>
      <w:bookmarkEnd w:id="25"/>
    </w:p>
    <w:p w:rsidR="008C05B5" w:rsidRDefault="002E2BDF" w:rsidP="0005797E">
      <w:pPr>
        <w:pStyle w:val="Heading3"/>
      </w:pPr>
      <w:bookmarkStart w:id="26" w:name="_Toc322942143"/>
      <w:r>
        <w:t>Engineering Telemetry</w:t>
      </w:r>
      <w:bookmarkEnd w:id="26"/>
    </w:p>
    <w:p w:rsidR="0005797E" w:rsidRPr="008C05B5" w:rsidRDefault="002E2BDF" w:rsidP="008C05B5">
      <w:r>
        <w:t>The flight system collects about 10,0</w:t>
      </w:r>
      <w:r w:rsidR="00253125">
        <w:t>00 engineering telemetry items including</w:t>
      </w:r>
      <w:r>
        <w:t xml:space="preserve"> temperatures, voltages, currents, </w:t>
      </w:r>
      <w:r w:rsidR="00075277">
        <w:t xml:space="preserve">motor and </w:t>
      </w:r>
      <w:r>
        <w:t xml:space="preserve">mechanism positions, reaction wheel speeds, attitude, </w:t>
      </w:r>
      <w:r w:rsidR="00075277">
        <w:t xml:space="preserve">thruster events, and </w:t>
      </w:r>
      <w:r>
        <w:t xml:space="preserve">software </w:t>
      </w:r>
      <w:r w:rsidR="00075277">
        <w:t>state</w:t>
      </w:r>
      <w:r w:rsidR="00253125">
        <w:t>s</w:t>
      </w:r>
      <w:r w:rsidR="00C61CD9">
        <w:t xml:space="preserve">.  </w:t>
      </w:r>
      <w:r w:rsidR="00C037A4">
        <w:t xml:space="preserve">Of these, 198 were selected as ancillary engineering data </w:t>
      </w:r>
      <w:r w:rsidR="004F4A4C">
        <w:t>(AED</w:t>
      </w:r>
      <w:r w:rsidR="00A452E2">
        <w:t>)</w:t>
      </w:r>
      <w:r w:rsidR="004F4A4C">
        <w:t xml:space="preserve"> earl</w:t>
      </w:r>
      <w:r w:rsidR="00F63672">
        <w:t>y in the mission for removing systematic errors from the</w:t>
      </w:r>
      <w:r w:rsidR="004F4A4C">
        <w:t xml:space="preserve"> photometric data and validating cadence data</w:t>
      </w:r>
      <w:r w:rsidR="00A452E2">
        <w:t>, of which 116 were thought to be possibly the most useful given the</w:t>
      </w:r>
      <w:r w:rsidR="00253125">
        <w:t>ir</w:t>
      </w:r>
      <w:r w:rsidR="00A452E2">
        <w:t xml:space="preserve"> physical location, update rate, signal-to-noise, and quantization</w:t>
      </w:r>
      <w:r w:rsidR="00345872">
        <w:t xml:space="preserve"> (</w:t>
      </w:r>
      <w:r w:rsidR="005246B5">
        <w:t>KAM, Appendix B5)</w:t>
      </w:r>
      <w:r w:rsidR="004F4A4C">
        <w:t xml:space="preserve">. </w:t>
      </w:r>
      <w:r w:rsidR="00C61CD9">
        <w:t>Items with mnemonics beginning with PED are  “Photometer Engineering Data</w:t>
      </w:r>
      <w:r w:rsidR="00253125">
        <w:t>,</w:t>
      </w:r>
      <w:r w:rsidR="00C61CD9">
        <w:t xml:space="preserve">” which are collected only when one of the KCBs is powered on, and correspond to physically distinct but thermally similar sensors depending on which KCB is in use.  </w:t>
      </w:r>
      <w:r w:rsidR="00345872">
        <w:t xml:space="preserve">Several telemetry items not included in AED turned out to have a detectable effect on </w:t>
      </w:r>
      <w:r w:rsidR="00152776">
        <w:t xml:space="preserve">pixel time series or </w:t>
      </w:r>
      <w:r w:rsidR="00345872">
        <w:t xml:space="preserve">photometry, such as the reaction wheel housing temperatures and the flux of </w:t>
      </w:r>
      <w:r w:rsidR="00152776">
        <w:t xml:space="preserve">variable </w:t>
      </w:r>
      <w:r w:rsidR="00345872">
        <w:t xml:space="preserve">FGS guide stars (KDCH). </w:t>
      </w:r>
      <w:r w:rsidR="004F4A4C">
        <w:t xml:space="preserve">While systematic error correction </w:t>
      </w:r>
      <w:r w:rsidR="008A7928">
        <w:t xml:space="preserve">in </w:t>
      </w:r>
      <w:r w:rsidR="009A6491">
        <w:t>pipeline 8.0+</w:t>
      </w:r>
      <w:r w:rsidR="008A7928">
        <w:t xml:space="preserve"> actually uses the ensemble of light curves themselves </w:t>
      </w:r>
      <w:r w:rsidR="00253125">
        <w:t>(</w:t>
      </w:r>
      <w:r w:rsidR="008A7928">
        <w:t>ra</w:t>
      </w:r>
      <w:r w:rsidR="00F63672">
        <w:t>ther than the AED</w:t>
      </w:r>
      <w:r w:rsidR="00253125">
        <w:t>)</w:t>
      </w:r>
      <w:r w:rsidR="00F63672">
        <w:t xml:space="preserve"> to represent and remove systematic errors</w:t>
      </w:r>
      <w:r w:rsidR="008A7928">
        <w:t xml:space="preserve">, the AED are archived at MAST to allow alternative approaches to analyzing </w:t>
      </w:r>
      <w:r w:rsidR="008A7928" w:rsidRPr="008A7928">
        <w:rPr>
          <w:i/>
        </w:rPr>
        <w:t>Kepler</w:t>
      </w:r>
      <w:r w:rsidR="008A7928">
        <w:t xml:space="preserve"> data.</w:t>
      </w:r>
      <w:r w:rsidR="00F63672">
        <w:t xml:space="preserve">  The larger attitude errors and thermal variation and the smaller number of targets in </w:t>
      </w:r>
      <w:r w:rsidR="00F63672" w:rsidRPr="00E52100">
        <w:rPr>
          <w:i/>
        </w:rPr>
        <w:t>K2</w:t>
      </w:r>
      <w:r w:rsidR="00F63672">
        <w:t xml:space="preserve"> may also motivate users to revisit the use of AED for correcting light curves.</w:t>
      </w:r>
    </w:p>
    <w:p w:rsidR="00404448" w:rsidRPr="00394F88" w:rsidRDefault="00404448" w:rsidP="00404448">
      <w:pPr>
        <w:pStyle w:val="Heading2"/>
        <w:rPr>
          <w:sz w:val="22"/>
        </w:rPr>
      </w:pPr>
      <w:bookmarkStart w:id="27" w:name="_Toc322942144"/>
      <w:r w:rsidRPr="00394F88">
        <w:rPr>
          <w:sz w:val="22"/>
        </w:rPr>
        <w:t>Pixels of Interest</w:t>
      </w:r>
      <w:bookmarkEnd w:id="27"/>
    </w:p>
    <w:p w:rsidR="00404448" w:rsidRDefault="00404448" w:rsidP="00404448">
      <w:pPr>
        <w:pStyle w:val="Heading3"/>
      </w:pPr>
      <w:bookmarkStart w:id="28" w:name="_Toc322942145"/>
      <w:r>
        <w:t>Targets and Apertures</w:t>
      </w:r>
      <w:bookmarkEnd w:id="28"/>
    </w:p>
    <w:p w:rsidR="00404448" w:rsidRDefault="00404448" w:rsidP="00404448">
      <w:r>
        <w:t xml:space="preserve">Target definition tables are used to specify the origin pixel of a target area and the desired Photometric Aperture. The target origin pixel is identified by 4 numbers:  module, output, row and column (MORC).  For example, </w:t>
      </w:r>
      <w:r w:rsidR="004C78B9">
        <w:fldChar w:fldCharType="begin"/>
      </w:r>
      <w:r w:rsidR="00C903B6">
        <w:instrText xml:space="preserve"> REF _Ref202011450 \h </w:instrText>
      </w:r>
      <w:r w:rsidR="004C78B9">
        <w:fldChar w:fldCharType="separate"/>
      </w:r>
      <w:r w:rsidR="000D2EB4">
        <w:t xml:space="preserve">Figure </w:t>
      </w:r>
      <w:r w:rsidR="000D2EB4">
        <w:rPr>
          <w:noProof/>
        </w:rPr>
        <w:t>5</w:t>
      </w:r>
      <w:r w:rsidR="004C78B9">
        <w:fldChar w:fldCharType="end"/>
      </w:r>
      <w:r>
        <w:t xml:space="preserve"> shows a target with the origin pixel at row 16, column 9, which uses Photometric Aperture pattern # 2.  Photometric Aperture Definition Tables are used to specify the Pixels of Interest (POI) for a target. The Aperture Definition Tables specify the POIs as row and column offsets from the origin pixel.</w:t>
      </w:r>
      <w:r w:rsidRPr="0036614D">
        <w:t xml:space="preserve"> </w:t>
      </w:r>
      <w:r>
        <w:t xml:space="preserve">In </w:t>
      </w:r>
      <w:r w:rsidR="004C78B9">
        <w:fldChar w:fldCharType="begin"/>
      </w:r>
      <w:r w:rsidR="00C903B6">
        <w:instrText xml:space="preserve"> REF _Ref202011450 \h </w:instrText>
      </w:r>
      <w:r w:rsidR="004C78B9">
        <w:fldChar w:fldCharType="separate"/>
      </w:r>
      <w:r w:rsidR="000D2EB4">
        <w:t xml:space="preserve">Figure </w:t>
      </w:r>
      <w:r w:rsidR="000D2EB4">
        <w:rPr>
          <w:noProof/>
        </w:rPr>
        <w:t>5</w:t>
      </w:r>
      <w:r w:rsidR="004C78B9">
        <w:fldChar w:fldCharType="end"/>
      </w:r>
      <w:r>
        <w:t>, a 3x3 box is specified.  The origin pixel does not have to be the center of the Photometric Aperture, nor do the aperture pixels need to be contiguous.</w:t>
      </w:r>
    </w:p>
    <w:p w:rsidR="00404448" w:rsidRDefault="00BD7D81" w:rsidP="00404448">
      <w:pPr>
        <w:keepNext/>
      </w:pPr>
      <w:r w:rsidRPr="00BD7D81">
        <w:rPr>
          <w:noProof/>
        </w:rPr>
        <w:drawing>
          <wp:anchor distT="0" distB="0" distL="114300" distR="114300" simplePos="0" relativeHeight="251660288" behindDoc="0" locked="0" layoutInCell="1" allowOverlap="1">
            <wp:simplePos x="0" y="0"/>
            <wp:positionH relativeFrom="column">
              <wp:posOffset>0</wp:posOffset>
            </wp:positionH>
            <wp:positionV relativeFrom="paragraph">
              <wp:posOffset>0</wp:posOffset>
            </wp:positionV>
            <wp:extent cx="5941060" cy="2628265"/>
            <wp:effectExtent l="25400" t="0" r="2540" b="0"/>
            <wp:wrapTight wrapText="bothSides">
              <wp:wrapPolygon edited="0">
                <wp:start x="-92" y="0"/>
                <wp:lineTo x="-92" y="21501"/>
                <wp:lineTo x="21609" y="21501"/>
                <wp:lineTo x="21609" y="0"/>
                <wp:lineTo x="-92" y="0"/>
              </wp:wrapPolygon>
            </wp:wrapTight>
            <wp:docPr id="694" name="Picture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4"/>
                    <pic:cNvPicPr>
                      <a:picLocks noChangeAspect="1" noChangeArrowheads="1"/>
                    </pic:cNvPicPr>
                  </pic:nvPicPr>
                  <pic:blipFill>
                    <a:blip r:embed="rId17"/>
                    <a:srcRect/>
                    <a:stretch>
                      <a:fillRect/>
                    </a:stretch>
                  </pic:blipFill>
                  <pic:spPr bwMode="auto">
                    <a:xfrm>
                      <a:off x="0" y="0"/>
                      <a:ext cx="5941060" cy="2628265"/>
                    </a:xfrm>
                    <a:prstGeom prst="rect">
                      <a:avLst/>
                    </a:prstGeom>
                    <a:noFill/>
                    <a:ln w="9525">
                      <a:noFill/>
                      <a:miter lim="800000"/>
                      <a:headEnd/>
                      <a:tailEnd/>
                    </a:ln>
                  </pic:spPr>
                </pic:pic>
              </a:graphicData>
            </a:graphic>
          </wp:anchor>
        </w:drawing>
      </w:r>
    </w:p>
    <w:p w:rsidR="00404448" w:rsidRDefault="00404448" w:rsidP="00404448">
      <w:pPr>
        <w:pStyle w:val="Caption"/>
      </w:pPr>
      <w:bookmarkStart w:id="29" w:name="_Ref202011450"/>
      <w:bookmarkStart w:id="30" w:name="_Toc322942235"/>
      <w:r>
        <w:t xml:space="preserve">Figure </w:t>
      </w:r>
      <w:fldSimple w:instr=" SEQ Figure \* ARABIC ">
        <w:r w:rsidR="000D2EB4">
          <w:rPr>
            <w:noProof/>
          </w:rPr>
          <w:t>5</w:t>
        </w:r>
      </w:fldSimple>
      <w:bookmarkEnd w:id="29"/>
      <w:r>
        <w:t>:  Targets and Apertures, redrawn after BATC document 2216784.  Gray indicates the pixels of interest for the origin pixel shown by the Target Definition 4-byte word and Pattern index 2.  The bold black pixel is the origin pixel for this target.</w:t>
      </w:r>
      <w:bookmarkEnd w:id="30"/>
    </w:p>
    <w:p w:rsidR="00404448" w:rsidRDefault="00404448" w:rsidP="00404448">
      <w:pPr>
        <w:pStyle w:val="Heading3"/>
      </w:pPr>
      <w:bookmarkStart w:id="31" w:name="_Toc322942146"/>
      <w:r>
        <w:t>Kinds of Targets</w:t>
      </w:r>
      <w:bookmarkEnd w:id="31"/>
    </w:p>
    <w:p w:rsidR="00404448" w:rsidRDefault="00404448" w:rsidP="00404448">
      <w:r>
        <w:t>There are separate Target Definition Tables for Photometric Targets (Long Cadence and Short Cadence), Reference Pixels, and Background Targets. Two sets of the Target Definition Tables are stored onboard at any given time for pre and post roll observing. One Photometric Aperture Definition Table is used for the Photometric and Reference Targets and another is used for the Background Targets.</w:t>
      </w:r>
    </w:p>
    <w:p w:rsidR="00404448" w:rsidRDefault="004A3FBE" w:rsidP="00404448">
      <w:r w:rsidRPr="004A3FBE">
        <w:rPr>
          <w:i/>
        </w:rPr>
        <w:t>Kepler</w:t>
      </w:r>
      <w:r w:rsidR="00404448">
        <w:t xml:space="preserve"> does not physically window regions of interest in the CCDs.  Instead, all pixels are read out for each frame, and coadded in the SDAs. Target and Aperture definitions determine which of those SDA coadded pixels are read out of the SDAs, compressed, transmitted to the SSR, and downlinked.</w:t>
      </w:r>
    </w:p>
    <w:p w:rsidR="00404448" w:rsidRPr="00BD355B" w:rsidRDefault="00404448" w:rsidP="00404448">
      <w:r>
        <w:t xml:space="preserve">Both physical and virtual pixels (see </w:t>
      </w:r>
      <w:r w:rsidR="00E607E6">
        <w:t>§</w:t>
      </w:r>
      <w:r w:rsidR="004C78B9">
        <w:fldChar w:fldCharType="begin"/>
      </w:r>
      <w:r w:rsidR="00C903B6">
        <w:instrText xml:space="preserve"> REF _Ref201488295 \r \h </w:instrText>
      </w:r>
      <w:r w:rsidR="004C78B9">
        <w:fldChar w:fldCharType="separate"/>
      </w:r>
      <w:r w:rsidR="000D2EB4">
        <w:t>4.5</w:t>
      </w:r>
      <w:r w:rsidR="004C78B9">
        <w:fldChar w:fldCharType="end"/>
      </w:r>
      <w:r>
        <w:t xml:space="preserve">) may be POI.   </w:t>
      </w:r>
    </w:p>
    <w:p w:rsidR="00404448" w:rsidRDefault="00404448" w:rsidP="00404448">
      <w:pPr>
        <w:pStyle w:val="Heading4"/>
      </w:pPr>
      <w:bookmarkStart w:id="32" w:name="_Toc322942147"/>
      <w:r>
        <w:t>Long Cadence</w:t>
      </w:r>
      <w:bookmarkEnd w:id="32"/>
    </w:p>
    <w:p w:rsidR="00404448" w:rsidRDefault="00404448" w:rsidP="00404448">
      <w:r>
        <w:t xml:space="preserve">LC apertures do not need to be rectangular, or even contiguous.  While LC apertures can in principle contain 32767 pixels each, such large apertures are used only for ground test and not for flight.  In flight, the aperture must be one of the 1024 different aperture definitions in total for LC and </w:t>
      </w:r>
      <w:r w:rsidR="00020E14">
        <w:t>Reference</w:t>
      </w:r>
      <w:r>
        <w:t xml:space="preserve"> </w:t>
      </w:r>
      <w:r w:rsidR="00020E14">
        <w:t xml:space="preserve">Pixel </w:t>
      </w:r>
      <w:r>
        <w:t xml:space="preserve">targets.  There are 5.44 Mpix available in total for LC targets, most of which will be allocated to the planetary transit search.  The maximum number of </w:t>
      </w:r>
      <w:r w:rsidR="00020E14">
        <w:t xml:space="preserve">LC </w:t>
      </w:r>
      <w:r>
        <w:t>targets is 170,000. These data are compressed, stored, and downlinked every month.</w:t>
      </w:r>
    </w:p>
    <w:p w:rsidR="00404448" w:rsidRPr="00BD355B" w:rsidRDefault="00404448" w:rsidP="00404448">
      <w:r>
        <w:t xml:space="preserve">In addition to targets of intrinsic scientific interest, each channel has a set of Artifact Removal Pixels (ARPs), which have the same row and column co-ordinates in each channel, and are described in </w:t>
      </w:r>
      <w:r w:rsidR="00E607E6">
        <w:t>§</w:t>
      </w:r>
      <w:r w:rsidR="004C78B9">
        <w:fldChar w:fldCharType="begin"/>
      </w:r>
      <w:r w:rsidR="00C903B6">
        <w:instrText xml:space="preserve"> REF _Ref105152524 \r \h </w:instrText>
      </w:r>
      <w:r w:rsidR="004C78B9">
        <w:fldChar w:fldCharType="separate"/>
      </w:r>
      <w:r w:rsidR="000D2EB4">
        <w:t>6.8</w:t>
      </w:r>
      <w:r w:rsidR="004C78B9">
        <w:fldChar w:fldCharType="end"/>
      </w:r>
      <w:r>
        <w:t>.</w:t>
      </w:r>
    </w:p>
    <w:p w:rsidR="00404448" w:rsidRDefault="00404448" w:rsidP="00404448">
      <w:pPr>
        <w:pStyle w:val="Heading4"/>
      </w:pPr>
      <w:bookmarkStart w:id="33" w:name="_Toc322942148"/>
      <w:r>
        <w:t>Short Cadence</w:t>
      </w:r>
      <w:bookmarkEnd w:id="33"/>
    </w:p>
    <w:p w:rsidR="00404448" w:rsidRDefault="00404448" w:rsidP="00404448">
      <w:r>
        <w:t xml:space="preserve">A Short Cadence (SC) contains at least 7 integrations, and a LC contains at least 15 SCs. The default values </w:t>
      </w:r>
      <w:r w:rsidR="00E47590">
        <w:t>used throughout science operations</w:t>
      </w:r>
      <w:r>
        <w:t xml:space="preserve"> are 9 integrations per SC, and 30 SCs per LC.  The SC pixels are</w:t>
      </w:r>
      <w:r w:rsidR="00C91936">
        <w:t xml:space="preserve"> al</w:t>
      </w:r>
      <w:r w:rsidR="00FB22C1">
        <w:t>so coadded in the SDAs for 29.4</w:t>
      </w:r>
      <w:r>
        <w:t xml:space="preserve"> m</w:t>
      </w:r>
      <w:r w:rsidR="00E47590">
        <w:t>in</w:t>
      </w:r>
      <w:r>
        <w:t>, or 270 integrations.  The difference between SC and LC is that the SDA SC coadds are read on</w:t>
      </w:r>
      <w:r w:rsidR="00FB22C1">
        <w:t>ce every SC period, nominally 58.8</w:t>
      </w:r>
      <w:r w:rsidR="002F69F3">
        <w:t>5</w:t>
      </w:r>
      <w:r>
        <w:t xml:space="preserve"> s, and the running sums differenced in software to give the same values as if the SDA was reset every SC period. Thus, SC data collection does not require the hardware to do anything different than what it does in LC data collection, and all SC targets are necessarily LC targets as well.  SC apertures follow the same rules as LC apertures, though there are fewer of them.  There are 43,520 pixels available in total for SC targets, distributed among 512 targets for an average target aperture size of 85 pixels.  Most of the SC data will be allocated to the transit system characterization and asteroseismology programs.  These data are compressed, stored, and downlinked every month.  </w:t>
      </w:r>
    </w:p>
    <w:p w:rsidR="00404448" w:rsidRDefault="00404448" w:rsidP="00404448">
      <w:pPr>
        <w:pStyle w:val="Heading4"/>
      </w:pPr>
      <w:bookmarkStart w:id="34" w:name="_Ref208722655"/>
      <w:bookmarkStart w:id="35" w:name="_Toc322942149"/>
      <w:r>
        <w:t>Reference</w:t>
      </w:r>
      <w:bookmarkEnd w:id="34"/>
      <w:bookmarkEnd w:id="35"/>
    </w:p>
    <w:p w:rsidR="00404448" w:rsidRPr="00BD355B" w:rsidRDefault="00404448" w:rsidP="00404448">
      <w:r>
        <w:t xml:space="preserve">Reference pixels are meant to provide insight into the health of </w:t>
      </w:r>
      <w:r w:rsidR="004A3FBE" w:rsidRPr="004A3FBE">
        <w:rPr>
          <w:i/>
        </w:rPr>
        <w:t>Kepler</w:t>
      </w:r>
      <w:r>
        <w:t xml:space="preserve"> at more frequent intervals than the monthly downlink of Photometric Target data.  The method of specifying Reference pixels is identical to that of specifying science targets. A separate Target Definition Table is dedicated for Reference pixels. However, Reference pixel targets use the same aperture definitions as science targets, so no separate aperture definition table exists for reference pixels.</w:t>
      </w:r>
      <w:r w:rsidRPr="00346DF4">
        <w:t xml:space="preserve"> </w:t>
      </w:r>
      <w:r>
        <w:t>There are about 96,000 pixels available for Reference targets at the start of the mission. The numb</w:t>
      </w:r>
      <w:r w:rsidR="00B0397B">
        <w:t>er of pixels available decreased</w:t>
      </w:r>
      <w:r>
        <w:t xml:space="preserve"> considerably during the course of the mission, as the </w:t>
      </w:r>
      <w:r w:rsidR="00B0397B">
        <w:t>LGA downlink bandwidth decreased</w:t>
      </w:r>
      <w:r>
        <w:t xml:space="preserve"> by a factor of 30 between the start of the mission and 3.5 years after launch, due to the increasing range to Earth.  These data are not compressed, and are downlinked every 4 days.  </w:t>
      </w:r>
    </w:p>
    <w:p w:rsidR="00404448" w:rsidRDefault="00404448" w:rsidP="00404448">
      <w:pPr>
        <w:pStyle w:val="Heading4"/>
      </w:pPr>
      <w:bookmarkStart w:id="36" w:name="_Toc322942150"/>
      <w:r>
        <w:t>Background</w:t>
      </w:r>
      <w:bookmarkEnd w:id="36"/>
    </w:p>
    <w:p w:rsidR="00404448" w:rsidRDefault="00404448" w:rsidP="00404448">
      <w:r>
        <w:t>Background Pixels (BG) are used to remove zodiacal light and unresolved background stars from the data, and to correct out residual 2-dimensional instrumental artifacts in the image (</w:t>
      </w:r>
      <w:r w:rsidR="00E607E6">
        <w:t>§</w:t>
      </w:r>
      <w:r w:rsidR="004C78B9">
        <w:fldChar w:fldCharType="begin"/>
      </w:r>
      <w:r w:rsidR="00C903B6">
        <w:instrText xml:space="preserve"> REF _Ref201488538 \r \h </w:instrText>
      </w:r>
      <w:r w:rsidR="004C78B9">
        <w:fldChar w:fldCharType="separate"/>
      </w:r>
      <w:r w:rsidR="000D2EB4">
        <w:t>5</w:t>
      </w:r>
      <w:r w:rsidR="004C78B9">
        <w:fldChar w:fldCharType="end"/>
      </w:r>
      <w:r>
        <w:t xml:space="preserve">), which remain after the use of the Collateral data for 1-dimensional correction along rows and columns separately.  They are collected each time a Long Cadence is collected, but have their own target and aperture definition tables.  Each channel may have up to 1125 Background targets.  There are 378 kpix available in total for Background targets, presently allocated as 1125 targets per channel, 4 pixels per target.  A typical example of their distribution is shown in </w:t>
      </w:r>
      <w:r w:rsidR="004C78B9">
        <w:fldChar w:fldCharType="begin"/>
      </w:r>
      <w:r w:rsidR="00C903B6">
        <w:instrText xml:space="preserve"> REF _Ref106024751 \h </w:instrText>
      </w:r>
      <w:r w:rsidR="004C78B9">
        <w:fldChar w:fldCharType="separate"/>
      </w:r>
      <w:r w:rsidR="000D2EB4">
        <w:t xml:space="preserve">Figure </w:t>
      </w:r>
      <w:r w:rsidR="000D2EB4">
        <w:rPr>
          <w:noProof/>
        </w:rPr>
        <w:t>6</w:t>
      </w:r>
      <w:r w:rsidR="004C78B9">
        <w:fldChar w:fldCharType="end"/>
      </w:r>
      <w:r>
        <w:t>.  These data are compressed, stored, and downlinked monthly.</w:t>
      </w:r>
    </w:p>
    <w:p w:rsidR="00404448" w:rsidRDefault="000518AB" w:rsidP="00404448">
      <w:pPr>
        <w:keepNext/>
      </w:pPr>
      <w:r>
        <w:rPr>
          <w:noProof/>
        </w:rPr>
        <w:drawing>
          <wp:inline distT="0" distB="0" distL="0" distR="0">
            <wp:extent cx="5067935" cy="5699125"/>
            <wp:effectExtent l="25400" t="0" r="12065" b="0"/>
            <wp:docPr id="10" name="Picture 10" descr="background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background_4"/>
                    <pic:cNvPicPr>
                      <a:picLocks noChangeAspect="1" noChangeArrowheads="1"/>
                    </pic:cNvPicPr>
                  </pic:nvPicPr>
                  <pic:blipFill>
                    <a:blip r:embed="rId18"/>
                    <a:srcRect/>
                    <a:stretch>
                      <a:fillRect/>
                    </a:stretch>
                  </pic:blipFill>
                  <pic:spPr bwMode="auto">
                    <a:xfrm>
                      <a:off x="0" y="0"/>
                      <a:ext cx="5067935" cy="5699125"/>
                    </a:xfrm>
                    <a:prstGeom prst="rect">
                      <a:avLst/>
                    </a:prstGeom>
                    <a:noFill/>
                    <a:ln w="9525">
                      <a:noFill/>
                      <a:miter lim="800000"/>
                      <a:headEnd/>
                      <a:tailEnd/>
                    </a:ln>
                  </pic:spPr>
                </pic:pic>
              </a:graphicData>
            </a:graphic>
          </wp:inline>
        </w:drawing>
      </w:r>
    </w:p>
    <w:p w:rsidR="00404448" w:rsidRPr="00346DF4" w:rsidRDefault="00404448" w:rsidP="00404448">
      <w:pPr>
        <w:pStyle w:val="Caption"/>
      </w:pPr>
      <w:bookmarkStart w:id="37" w:name="_Ref106024751"/>
      <w:bookmarkStart w:id="38" w:name="_Toc322942236"/>
      <w:r>
        <w:t xml:space="preserve">Figure </w:t>
      </w:r>
      <w:fldSimple w:instr=" SEQ Figure \* ARABIC ">
        <w:r w:rsidR="000D2EB4">
          <w:rPr>
            <w:noProof/>
          </w:rPr>
          <w:t>6</w:t>
        </w:r>
      </w:fldSimple>
      <w:bookmarkEnd w:id="37"/>
      <w:r>
        <w:t>:  Typical Distribution of Background Pixels.  The lattice is not quite regular, since the targets are placed to avoid stars, and it is desirable to sample more closely around the edges to better define the boundary conditions for the two-dimensional polynomial fit to the background.</w:t>
      </w:r>
      <w:bookmarkEnd w:id="38"/>
    </w:p>
    <w:p w:rsidR="00404448" w:rsidRDefault="00404448" w:rsidP="00404448">
      <w:pPr>
        <w:pStyle w:val="Heading3"/>
      </w:pPr>
      <w:bookmarkStart w:id="39" w:name="_Toc322942151"/>
      <w:r>
        <w:t>Collateral Data</w:t>
      </w:r>
      <w:bookmarkEnd w:id="39"/>
    </w:p>
    <w:p w:rsidR="00404448" w:rsidRPr="00930F14" w:rsidRDefault="00404448" w:rsidP="00404448">
      <w:r>
        <w:t>The Collateral Data are data from summed rows and columns of pixels at the edges of the CCD output channel image (</w:t>
      </w:r>
      <w:r w:rsidR="00E607E6">
        <w:t>§</w:t>
      </w:r>
      <w:r w:rsidR="004C78B9">
        <w:fldChar w:fldCharType="begin"/>
      </w:r>
      <w:r w:rsidR="00C903B6">
        <w:instrText xml:space="preserve"> REF _Ref201503297 \r \h </w:instrText>
      </w:r>
      <w:r w:rsidR="004C78B9">
        <w:fldChar w:fldCharType="separate"/>
      </w:r>
      <w:r w:rsidR="000D2EB4">
        <w:t>4.5</w:t>
      </w:r>
      <w:r w:rsidR="004C78B9">
        <w:fldChar w:fldCharType="end"/>
      </w:r>
      <w:r>
        <w:t>).  They are used for one-dimensional dyn</w:t>
      </w:r>
      <w:r w:rsidR="00E100A7">
        <w:t xml:space="preserve">amic correction (in the Data Processing </w:t>
      </w:r>
      <w:r>
        <w:t xml:space="preserve">Pipeline) of the LC and SC data. The binned pixels are subsets of the </w:t>
      </w:r>
      <w:r w:rsidRPr="005B3A51">
        <w:t>Masked Smear,</w:t>
      </w:r>
      <w:r>
        <w:t xml:space="preserve"> Virtual Smear and Trailing Black regions, the size and location of which are shown in </w:t>
      </w:r>
      <w:r w:rsidR="00E607E6">
        <w:t>§</w:t>
      </w:r>
      <w:r w:rsidR="004C78B9">
        <w:fldChar w:fldCharType="begin"/>
      </w:r>
      <w:r w:rsidR="00C903B6">
        <w:instrText xml:space="preserve"> REF _Ref201488295 \r \h </w:instrText>
      </w:r>
      <w:r w:rsidR="004C78B9">
        <w:fldChar w:fldCharType="separate"/>
      </w:r>
      <w:r w:rsidR="000D2EB4">
        <w:t>4.5</w:t>
      </w:r>
      <w:r w:rsidR="004C78B9">
        <w:fldChar w:fldCharType="end"/>
      </w:r>
      <w:r>
        <w:t xml:space="preserve"> and </w:t>
      </w:r>
      <w:r w:rsidR="004C78B9">
        <w:fldChar w:fldCharType="begin"/>
      </w:r>
      <w:r w:rsidR="00C903B6">
        <w:instrText xml:space="preserve"> REF _Ref106249209 \h </w:instrText>
      </w:r>
      <w:r w:rsidR="004C78B9">
        <w:fldChar w:fldCharType="separate"/>
      </w:r>
      <w:r w:rsidR="000D2EB4">
        <w:t xml:space="preserve">Figure </w:t>
      </w:r>
      <w:r w:rsidR="000D2EB4">
        <w:rPr>
          <w:noProof/>
        </w:rPr>
        <w:t>25</w:t>
      </w:r>
      <w:r w:rsidR="004C78B9">
        <w:fldChar w:fldCharType="end"/>
      </w:r>
      <w:r>
        <w:t>.</w:t>
      </w:r>
    </w:p>
    <w:p w:rsidR="00404448" w:rsidRDefault="00404448" w:rsidP="00404448">
      <w:pPr>
        <w:pStyle w:val="Heading4"/>
      </w:pPr>
      <w:bookmarkStart w:id="40" w:name="_Toc322942152"/>
      <w:r>
        <w:t>Long Cadence</w:t>
      </w:r>
      <w:bookmarkEnd w:id="40"/>
    </w:p>
    <w:p w:rsidR="00404448" w:rsidRDefault="00404448" w:rsidP="00404448">
      <w:r>
        <w:t>Long Cadence C</w:t>
      </w:r>
      <w:r w:rsidR="00B44708">
        <w:t>ollateral (LCC) data consist of:</w:t>
      </w:r>
    </w:p>
    <w:p w:rsidR="00404448" w:rsidRDefault="00404448" w:rsidP="00404448">
      <w:r>
        <w:t xml:space="preserve">1.  Each column for a binned subset of rows in the </w:t>
      </w:r>
      <w:r w:rsidRPr="005B3A51">
        <w:t>Masked Smear</w:t>
      </w:r>
      <w:r w:rsidR="00B44708">
        <w:t xml:space="preserve"> region,</w:t>
      </w:r>
    </w:p>
    <w:p w:rsidR="00404448" w:rsidRDefault="00404448" w:rsidP="00404448">
      <w:r>
        <w:t>2.  Each column for a binned subset of rows in the Virtual Smear region</w:t>
      </w:r>
      <w:r w:rsidR="00B44708">
        <w:t>,</w:t>
      </w:r>
    </w:p>
    <w:p w:rsidR="00404448" w:rsidRDefault="00404448" w:rsidP="00404448">
      <w:r>
        <w:t xml:space="preserve">3.  Each row for a binned subset of columns in the Trailing Black regions, </w:t>
      </w:r>
    </w:p>
    <w:p w:rsidR="00404448" w:rsidRPr="005B3A51" w:rsidRDefault="00404448" w:rsidP="00404448">
      <w:r w:rsidRPr="005B3A51">
        <w:t>for each module/output</w:t>
      </w:r>
      <w:r>
        <w:t xml:space="preserve"> regardless of target distribution.</w:t>
      </w:r>
    </w:p>
    <w:p w:rsidR="00404448" w:rsidRDefault="00404448" w:rsidP="00404448">
      <w:pPr>
        <w:pStyle w:val="Heading4"/>
      </w:pPr>
      <w:bookmarkStart w:id="41" w:name="_Ref201503820"/>
      <w:bookmarkStart w:id="42" w:name="_Toc322942153"/>
      <w:r>
        <w:t>Short Cadence</w:t>
      </w:r>
      <w:bookmarkEnd w:id="41"/>
      <w:bookmarkEnd w:id="42"/>
    </w:p>
    <w:p w:rsidR="00404448" w:rsidRPr="00737983" w:rsidRDefault="00404448" w:rsidP="00404448">
      <w:r w:rsidRPr="00737983">
        <w:t>Short Cadence Collateral (SCC) data are only those binned rows and columns needed to co</w:t>
      </w:r>
      <w:r>
        <w:t xml:space="preserve">rrect the SC pixels collected. </w:t>
      </w:r>
      <w:r w:rsidR="004C78B9">
        <w:fldChar w:fldCharType="begin"/>
      </w:r>
      <w:r w:rsidR="00C903B6">
        <w:instrText xml:space="preserve"> REF _Ref109121274 \h </w:instrText>
      </w:r>
      <w:r w:rsidR="004C78B9">
        <w:fldChar w:fldCharType="separate"/>
      </w:r>
      <w:r w:rsidR="000D2EB4">
        <w:t xml:space="preserve">Figure </w:t>
      </w:r>
      <w:r w:rsidR="000D2EB4">
        <w:rPr>
          <w:noProof/>
        </w:rPr>
        <w:t>7</w:t>
      </w:r>
      <w:r w:rsidR="004C78B9">
        <w:fldChar w:fldCharType="end"/>
      </w:r>
      <w:r w:rsidRPr="00737983">
        <w:t xml:space="preserve"> </w:t>
      </w:r>
      <w:r>
        <w:t xml:space="preserve">shows </w:t>
      </w:r>
      <w:r w:rsidRPr="00737983">
        <w:t>the 5 types of SCC data:</w:t>
      </w:r>
    </w:p>
    <w:p w:rsidR="00404448" w:rsidRDefault="00404448" w:rsidP="00404448">
      <w:pPr>
        <w:numPr>
          <w:ilvl w:val="0"/>
          <w:numId w:val="38"/>
        </w:numPr>
      </w:pPr>
      <w:r>
        <w:t xml:space="preserve">Short Cadence Target Black </w:t>
      </w:r>
    </w:p>
    <w:p w:rsidR="00404448" w:rsidRDefault="00404448" w:rsidP="00404448">
      <w:pPr>
        <w:numPr>
          <w:ilvl w:val="0"/>
          <w:numId w:val="38"/>
        </w:numPr>
      </w:pPr>
      <w:r>
        <w:t>Short Cadence Target Masked Pixels</w:t>
      </w:r>
    </w:p>
    <w:p w:rsidR="00404448" w:rsidRDefault="00404448" w:rsidP="00404448">
      <w:pPr>
        <w:numPr>
          <w:ilvl w:val="0"/>
          <w:numId w:val="38"/>
        </w:numPr>
      </w:pPr>
      <w:r>
        <w:t>Short Cadence Target Smear Pixels</w:t>
      </w:r>
    </w:p>
    <w:p w:rsidR="00404448" w:rsidRDefault="00A01FAE" w:rsidP="00404448">
      <w:pPr>
        <w:numPr>
          <w:ilvl w:val="0"/>
          <w:numId w:val="38"/>
        </w:numPr>
      </w:pPr>
      <w:r>
        <w:t xml:space="preserve">Short Cadence </w:t>
      </w:r>
      <w:r w:rsidR="00404448">
        <w:t>black</w:t>
      </w:r>
      <w:r>
        <w:t>/masked</w:t>
      </w:r>
      <w:r w:rsidR="00404448">
        <w:t xml:space="preserve"> overlap Pixels</w:t>
      </w:r>
    </w:p>
    <w:p w:rsidR="00404448" w:rsidRDefault="00A01FAE" w:rsidP="00404448">
      <w:pPr>
        <w:numPr>
          <w:ilvl w:val="0"/>
          <w:numId w:val="38"/>
        </w:numPr>
      </w:pPr>
      <w:r>
        <w:t xml:space="preserve">Short Cadence </w:t>
      </w:r>
      <w:r w:rsidR="00404448">
        <w:t>black</w:t>
      </w:r>
      <w:r>
        <w:t>/smear</w:t>
      </w:r>
      <w:r w:rsidR="00404448">
        <w:t xml:space="preserve"> overlap Pixels</w:t>
      </w:r>
    </w:p>
    <w:p w:rsidR="00404448" w:rsidRDefault="00404448" w:rsidP="00404448"/>
    <w:p w:rsidR="00404448" w:rsidRPr="00064350" w:rsidRDefault="000518AB" w:rsidP="00404448">
      <w:pPr>
        <w:pStyle w:val="Caption"/>
      </w:pPr>
      <w:bookmarkStart w:id="43" w:name="_Ref201504054"/>
      <w:r>
        <w:rPr>
          <w:noProof/>
        </w:rPr>
        <w:drawing>
          <wp:inline distT="0" distB="0" distL="0" distR="0">
            <wp:extent cx="4798695" cy="4161155"/>
            <wp:effectExtent l="0" t="0" r="0" b="0"/>
            <wp:docPr id="11" name="O 17"/>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354323" cy="5754688"/>
                      <a:chOff x="1042013" y="552638"/>
                      <a:chExt cx="6354323" cy="5754688"/>
                    </a:xfrm>
                  </a:grpSpPr>
                  <a:grpSp>
                    <a:nvGrpSpPr>
                      <a:cNvPr id="28" name="Group 27"/>
                      <a:cNvGrpSpPr/>
                    </a:nvGrpSpPr>
                    <a:grpSpPr>
                      <a:xfrm>
                        <a:off x="1042013" y="552638"/>
                        <a:ext cx="6354323" cy="5754688"/>
                        <a:chOff x="1042013" y="552638"/>
                        <a:chExt cx="6354323" cy="5754688"/>
                      </a:xfrm>
                    </a:grpSpPr>
                    <a:pic>
                      <a:nvPicPr>
                        <a:cNvPr id="27651" name="Picture 7"/>
                        <a:cNvPicPr>
                          <a:picLocks noChangeAspect="1" noChangeArrowheads="1"/>
                        </a:cNvPicPr>
                      </a:nvPicPr>
                      <a:blipFill>
                        <a:blip r:embed="rId19"/>
                        <a:srcRect/>
                        <a:stretch>
                          <a:fillRect/>
                        </a:stretch>
                      </a:blipFill>
                      <a:spPr bwMode="auto">
                        <a:xfrm>
                          <a:off x="1418251" y="552638"/>
                          <a:ext cx="5754688" cy="5754688"/>
                        </a:xfrm>
                        <a:prstGeom prst="rect">
                          <a:avLst/>
                        </a:prstGeom>
                        <a:noFill/>
                        <a:ln w="9525">
                          <a:noFill/>
                          <a:miter lim="800000"/>
                          <a:headEnd/>
                          <a:tailEnd/>
                        </a:ln>
                      </a:spPr>
                    </a:pic>
                    <a:sp>
                      <a:nvSpPr>
                        <a:cNvPr id="27652" name="Text Box 8"/>
                        <a:cNvSpPr txBox="1">
                          <a:spLocks noChangeArrowheads="1"/>
                        </a:cNvSpPr>
                      </a:nvSpPr>
                      <a:spPr bwMode="auto">
                        <a:xfrm>
                          <a:off x="3651863" y="5978713"/>
                          <a:ext cx="782638" cy="274638"/>
                        </a:xfrm>
                        <a:prstGeom prst="rect">
                          <a:avLst/>
                        </a:prstGeom>
                        <a:noFill/>
                        <a:ln w="9525">
                          <a:noFill/>
                          <a:miter lim="800000"/>
                          <a:headEnd/>
                          <a:tailEnd/>
                        </a:ln>
                      </a:spPr>
                      <a:txSp>
                        <a:txBody>
                          <a:bodyPr wrap="none">
                            <a:prstTxWarp prst="textNoShape">
                              <a:avLst/>
                            </a:prstTxWarp>
                            <a:spAutoFit/>
                          </a:bodyPr>
                          <a:lstStyle>
                            <a:defPPr>
                              <a:defRPr lang="en-US"/>
                            </a:defPPr>
                            <a:lvl1pPr algn="l" rtl="0" eaLnBrk="0" fontAlgn="base" hangingPunct="0">
                              <a:spcBef>
                                <a:spcPct val="0"/>
                              </a:spcBef>
                              <a:spcAft>
                                <a:spcPct val="0"/>
                              </a:spcAft>
                              <a:defRPr kern="1200">
                                <a:solidFill>
                                  <a:schemeClr val="tx1"/>
                                </a:solidFill>
                                <a:latin typeface="Arial" pitchFamily="-111" charset="0"/>
                                <a:ea typeface="+mn-ea"/>
                                <a:cs typeface="+mn-cs"/>
                              </a:defRPr>
                            </a:lvl1pPr>
                            <a:lvl2pPr marL="457200" algn="l" rtl="0" eaLnBrk="0" fontAlgn="base" hangingPunct="0">
                              <a:spcBef>
                                <a:spcPct val="0"/>
                              </a:spcBef>
                              <a:spcAft>
                                <a:spcPct val="0"/>
                              </a:spcAft>
                              <a:defRPr kern="1200">
                                <a:solidFill>
                                  <a:schemeClr val="tx1"/>
                                </a:solidFill>
                                <a:latin typeface="Arial" pitchFamily="-111" charset="0"/>
                                <a:ea typeface="+mn-ea"/>
                                <a:cs typeface="+mn-cs"/>
                              </a:defRPr>
                            </a:lvl2pPr>
                            <a:lvl3pPr marL="914400" algn="l" rtl="0" eaLnBrk="0" fontAlgn="base" hangingPunct="0">
                              <a:spcBef>
                                <a:spcPct val="0"/>
                              </a:spcBef>
                              <a:spcAft>
                                <a:spcPct val="0"/>
                              </a:spcAft>
                              <a:defRPr kern="1200">
                                <a:solidFill>
                                  <a:schemeClr val="tx1"/>
                                </a:solidFill>
                                <a:latin typeface="Arial" pitchFamily="-111" charset="0"/>
                                <a:ea typeface="+mn-ea"/>
                                <a:cs typeface="+mn-cs"/>
                              </a:defRPr>
                            </a:lvl3pPr>
                            <a:lvl4pPr marL="1371600" algn="l" rtl="0" eaLnBrk="0" fontAlgn="base" hangingPunct="0">
                              <a:spcBef>
                                <a:spcPct val="0"/>
                              </a:spcBef>
                              <a:spcAft>
                                <a:spcPct val="0"/>
                              </a:spcAft>
                              <a:defRPr kern="1200">
                                <a:solidFill>
                                  <a:schemeClr val="tx1"/>
                                </a:solidFill>
                                <a:latin typeface="Arial" pitchFamily="-111" charset="0"/>
                                <a:ea typeface="+mn-ea"/>
                                <a:cs typeface="+mn-cs"/>
                              </a:defRPr>
                            </a:lvl4pPr>
                            <a:lvl5pPr marL="1828800" algn="l" rtl="0" eaLnBrk="0" fontAlgn="base" hangingPunct="0">
                              <a:spcBef>
                                <a:spcPct val="0"/>
                              </a:spcBef>
                              <a:spcAft>
                                <a:spcPct val="0"/>
                              </a:spcAft>
                              <a:defRPr kern="1200">
                                <a:solidFill>
                                  <a:schemeClr val="tx1"/>
                                </a:solidFill>
                                <a:latin typeface="Arial" pitchFamily="-111" charset="0"/>
                                <a:ea typeface="+mn-ea"/>
                                <a:cs typeface="+mn-cs"/>
                              </a:defRPr>
                            </a:lvl5pPr>
                            <a:lvl6pPr marL="2286000" algn="l" defTabSz="457200" rtl="0" eaLnBrk="1" latinLnBrk="0" hangingPunct="1">
                              <a:defRPr kern="1200">
                                <a:solidFill>
                                  <a:schemeClr val="tx1"/>
                                </a:solidFill>
                                <a:latin typeface="Arial" pitchFamily="-111" charset="0"/>
                                <a:ea typeface="+mn-ea"/>
                                <a:cs typeface="+mn-cs"/>
                              </a:defRPr>
                            </a:lvl6pPr>
                            <a:lvl7pPr marL="2743200" algn="l" defTabSz="457200" rtl="0" eaLnBrk="1" latinLnBrk="0" hangingPunct="1">
                              <a:defRPr kern="1200">
                                <a:solidFill>
                                  <a:schemeClr val="tx1"/>
                                </a:solidFill>
                                <a:latin typeface="Arial" pitchFamily="-111" charset="0"/>
                                <a:ea typeface="+mn-ea"/>
                                <a:cs typeface="+mn-cs"/>
                              </a:defRPr>
                            </a:lvl7pPr>
                            <a:lvl8pPr marL="3200400" algn="l" defTabSz="457200" rtl="0" eaLnBrk="1" latinLnBrk="0" hangingPunct="1">
                              <a:defRPr kern="1200">
                                <a:solidFill>
                                  <a:schemeClr val="tx1"/>
                                </a:solidFill>
                                <a:latin typeface="Arial" pitchFamily="-111" charset="0"/>
                                <a:ea typeface="+mn-ea"/>
                                <a:cs typeface="+mn-cs"/>
                              </a:defRPr>
                            </a:lvl8pPr>
                            <a:lvl9pPr marL="3657600" algn="l" defTabSz="457200" rtl="0" eaLnBrk="1" latinLnBrk="0" hangingPunct="1">
                              <a:defRPr kern="1200">
                                <a:solidFill>
                                  <a:schemeClr val="tx1"/>
                                </a:solidFill>
                                <a:latin typeface="Arial" pitchFamily="-111" charset="0"/>
                                <a:ea typeface="+mn-ea"/>
                                <a:cs typeface="+mn-cs"/>
                              </a:defRPr>
                            </a:lvl9pPr>
                          </a:lstStyle>
                          <a:p>
                            <a:r>
                              <a:rPr lang="en-US" sz="1200"/>
                              <a:t>Columns</a:t>
                            </a:r>
                          </a:p>
                        </a:txBody>
                        <a:useSpRect/>
                      </a:txSp>
                    </a:sp>
                    <a:sp>
                      <a:nvSpPr>
                        <a:cNvPr id="27653" name="Text Box 9"/>
                        <a:cNvSpPr txBox="1">
                          <a:spLocks noChangeArrowheads="1"/>
                        </a:cNvSpPr>
                      </a:nvSpPr>
                      <a:spPr bwMode="auto">
                        <a:xfrm>
                          <a:off x="1553188" y="5978713"/>
                          <a:ext cx="268288" cy="274638"/>
                        </a:xfrm>
                        <a:prstGeom prst="rect">
                          <a:avLst/>
                        </a:prstGeom>
                        <a:noFill/>
                        <a:ln w="9525">
                          <a:noFill/>
                          <a:miter lim="800000"/>
                          <a:headEnd/>
                          <a:tailEnd/>
                        </a:ln>
                      </a:spPr>
                      <a:txSp>
                        <a:txBody>
                          <a:bodyPr wrap="none">
                            <a:prstTxWarp prst="textNoShape">
                              <a:avLst/>
                            </a:prstTxWarp>
                            <a:spAutoFit/>
                          </a:bodyPr>
                          <a:lstStyle>
                            <a:defPPr>
                              <a:defRPr lang="en-US"/>
                            </a:defPPr>
                            <a:lvl1pPr algn="l" rtl="0" eaLnBrk="0" fontAlgn="base" hangingPunct="0">
                              <a:spcBef>
                                <a:spcPct val="0"/>
                              </a:spcBef>
                              <a:spcAft>
                                <a:spcPct val="0"/>
                              </a:spcAft>
                              <a:defRPr kern="1200">
                                <a:solidFill>
                                  <a:schemeClr val="tx1"/>
                                </a:solidFill>
                                <a:latin typeface="Arial" pitchFamily="-111" charset="0"/>
                                <a:ea typeface="+mn-ea"/>
                                <a:cs typeface="+mn-cs"/>
                              </a:defRPr>
                            </a:lvl1pPr>
                            <a:lvl2pPr marL="457200" algn="l" rtl="0" eaLnBrk="0" fontAlgn="base" hangingPunct="0">
                              <a:spcBef>
                                <a:spcPct val="0"/>
                              </a:spcBef>
                              <a:spcAft>
                                <a:spcPct val="0"/>
                              </a:spcAft>
                              <a:defRPr kern="1200">
                                <a:solidFill>
                                  <a:schemeClr val="tx1"/>
                                </a:solidFill>
                                <a:latin typeface="Arial" pitchFamily="-111" charset="0"/>
                                <a:ea typeface="+mn-ea"/>
                                <a:cs typeface="+mn-cs"/>
                              </a:defRPr>
                            </a:lvl2pPr>
                            <a:lvl3pPr marL="914400" algn="l" rtl="0" eaLnBrk="0" fontAlgn="base" hangingPunct="0">
                              <a:spcBef>
                                <a:spcPct val="0"/>
                              </a:spcBef>
                              <a:spcAft>
                                <a:spcPct val="0"/>
                              </a:spcAft>
                              <a:defRPr kern="1200">
                                <a:solidFill>
                                  <a:schemeClr val="tx1"/>
                                </a:solidFill>
                                <a:latin typeface="Arial" pitchFamily="-111" charset="0"/>
                                <a:ea typeface="+mn-ea"/>
                                <a:cs typeface="+mn-cs"/>
                              </a:defRPr>
                            </a:lvl3pPr>
                            <a:lvl4pPr marL="1371600" algn="l" rtl="0" eaLnBrk="0" fontAlgn="base" hangingPunct="0">
                              <a:spcBef>
                                <a:spcPct val="0"/>
                              </a:spcBef>
                              <a:spcAft>
                                <a:spcPct val="0"/>
                              </a:spcAft>
                              <a:defRPr kern="1200">
                                <a:solidFill>
                                  <a:schemeClr val="tx1"/>
                                </a:solidFill>
                                <a:latin typeface="Arial" pitchFamily="-111" charset="0"/>
                                <a:ea typeface="+mn-ea"/>
                                <a:cs typeface="+mn-cs"/>
                              </a:defRPr>
                            </a:lvl4pPr>
                            <a:lvl5pPr marL="1828800" algn="l" rtl="0" eaLnBrk="0" fontAlgn="base" hangingPunct="0">
                              <a:spcBef>
                                <a:spcPct val="0"/>
                              </a:spcBef>
                              <a:spcAft>
                                <a:spcPct val="0"/>
                              </a:spcAft>
                              <a:defRPr kern="1200">
                                <a:solidFill>
                                  <a:schemeClr val="tx1"/>
                                </a:solidFill>
                                <a:latin typeface="Arial" pitchFamily="-111" charset="0"/>
                                <a:ea typeface="+mn-ea"/>
                                <a:cs typeface="+mn-cs"/>
                              </a:defRPr>
                            </a:lvl5pPr>
                            <a:lvl6pPr marL="2286000" algn="l" defTabSz="457200" rtl="0" eaLnBrk="1" latinLnBrk="0" hangingPunct="1">
                              <a:defRPr kern="1200">
                                <a:solidFill>
                                  <a:schemeClr val="tx1"/>
                                </a:solidFill>
                                <a:latin typeface="Arial" pitchFamily="-111" charset="0"/>
                                <a:ea typeface="+mn-ea"/>
                                <a:cs typeface="+mn-cs"/>
                              </a:defRPr>
                            </a:lvl6pPr>
                            <a:lvl7pPr marL="2743200" algn="l" defTabSz="457200" rtl="0" eaLnBrk="1" latinLnBrk="0" hangingPunct="1">
                              <a:defRPr kern="1200">
                                <a:solidFill>
                                  <a:schemeClr val="tx1"/>
                                </a:solidFill>
                                <a:latin typeface="Arial" pitchFamily="-111" charset="0"/>
                                <a:ea typeface="+mn-ea"/>
                                <a:cs typeface="+mn-cs"/>
                              </a:defRPr>
                            </a:lvl7pPr>
                            <a:lvl8pPr marL="3200400" algn="l" defTabSz="457200" rtl="0" eaLnBrk="1" latinLnBrk="0" hangingPunct="1">
                              <a:defRPr kern="1200">
                                <a:solidFill>
                                  <a:schemeClr val="tx1"/>
                                </a:solidFill>
                                <a:latin typeface="Arial" pitchFamily="-111" charset="0"/>
                                <a:ea typeface="+mn-ea"/>
                                <a:cs typeface="+mn-cs"/>
                              </a:defRPr>
                            </a:lvl8pPr>
                            <a:lvl9pPr marL="3657600" algn="l" defTabSz="457200" rtl="0" eaLnBrk="1" latinLnBrk="0" hangingPunct="1">
                              <a:defRPr kern="1200">
                                <a:solidFill>
                                  <a:schemeClr val="tx1"/>
                                </a:solidFill>
                                <a:latin typeface="Arial" pitchFamily="-111" charset="0"/>
                                <a:ea typeface="+mn-ea"/>
                                <a:cs typeface="+mn-cs"/>
                              </a:defRPr>
                            </a:lvl9pPr>
                          </a:lstStyle>
                          <a:p>
                            <a:r>
                              <a:rPr lang="en-US" sz="1200"/>
                              <a:t>0</a:t>
                            </a:r>
                          </a:p>
                        </a:txBody>
                        <a:useSpRect/>
                      </a:txSp>
                    </a:sp>
                    <a:sp>
                      <a:nvSpPr>
                        <a:cNvPr id="27654" name="Text Box 10"/>
                        <a:cNvSpPr txBox="1">
                          <a:spLocks noChangeArrowheads="1"/>
                        </a:cNvSpPr>
                      </a:nvSpPr>
                      <a:spPr bwMode="auto">
                        <a:xfrm>
                          <a:off x="6447451" y="5978713"/>
                          <a:ext cx="520700" cy="274638"/>
                        </a:xfrm>
                        <a:prstGeom prst="rect">
                          <a:avLst/>
                        </a:prstGeom>
                        <a:noFill/>
                        <a:ln w="9525">
                          <a:noFill/>
                          <a:miter lim="800000"/>
                          <a:headEnd/>
                          <a:tailEnd/>
                        </a:ln>
                      </a:spPr>
                      <a:txSp>
                        <a:txBody>
                          <a:bodyPr wrap="none">
                            <a:prstTxWarp prst="textNoShape">
                              <a:avLst/>
                            </a:prstTxWarp>
                            <a:spAutoFit/>
                          </a:bodyPr>
                          <a:lstStyle>
                            <a:defPPr>
                              <a:defRPr lang="en-US"/>
                            </a:defPPr>
                            <a:lvl1pPr algn="l" rtl="0" eaLnBrk="0" fontAlgn="base" hangingPunct="0">
                              <a:spcBef>
                                <a:spcPct val="0"/>
                              </a:spcBef>
                              <a:spcAft>
                                <a:spcPct val="0"/>
                              </a:spcAft>
                              <a:defRPr kern="1200">
                                <a:solidFill>
                                  <a:schemeClr val="tx1"/>
                                </a:solidFill>
                                <a:latin typeface="Arial" pitchFamily="-111" charset="0"/>
                                <a:ea typeface="+mn-ea"/>
                                <a:cs typeface="+mn-cs"/>
                              </a:defRPr>
                            </a:lvl1pPr>
                            <a:lvl2pPr marL="457200" algn="l" rtl="0" eaLnBrk="0" fontAlgn="base" hangingPunct="0">
                              <a:spcBef>
                                <a:spcPct val="0"/>
                              </a:spcBef>
                              <a:spcAft>
                                <a:spcPct val="0"/>
                              </a:spcAft>
                              <a:defRPr kern="1200">
                                <a:solidFill>
                                  <a:schemeClr val="tx1"/>
                                </a:solidFill>
                                <a:latin typeface="Arial" pitchFamily="-111" charset="0"/>
                                <a:ea typeface="+mn-ea"/>
                                <a:cs typeface="+mn-cs"/>
                              </a:defRPr>
                            </a:lvl2pPr>
                            <a:lvl3pPr marL="914400" algn="l" rtl="0" eaLnBrk="0" fontAlgn="base" hangingPunct="0">
                              <a:spcBef>
                                <a:spcPct val="0"/>
                              </a:spcBef>
                              <a:spcAft>
                                <a:spcPct val="0"/>
                              </a:spcAft>
                              <a:defRPr kern="1200">
                                <a:solidFill>
                                  <a:schemeClr val="tx1"/>
                                </a:solidFill>
                                <a:latin typeface="Arial" pitchFamily="-111" charset="0"/>
                                <a:ea typeface="+mn-ea"/>
                                <a:cs typeface="+mn-cs"/>
                              </a:defRPr>
                            </a:lvl3pPr>
                            <a:lvl4pPr marL="1371600" algn="l" rtl="0" eaLnBrk="0" fontAlgn="base" hangingPunct="0">
                              <a:spcBef>
                                <a:spcPct val="0"/>
                              </a:spcBef>
                              <a:spcAft>
                                <a:spcPct val="0"/>
                              </a:spcAft>
                              <a:defRPr kern="1200">
                                <a:solidFill>
                                  <a:schemeClr val="tx1"/>
                                </a:solidFill>
                                <a:latin typeface="Arial" pitchFamily="-111" charset="0"/>
                                <a:ea typeface="+mn-ea"/>
                                <a:cs typeface="+mn-cs"/>
                              </a:defRPr>
                            </a:lvl4pPr>
                            <a:lvl5pPr marL="1828800" algn="l" rtl="0" eaLnBrk="0" fontAlgn="base" hangingPunct="0">
                              <a:spcBef>
                                <a:spcPct val="0"/>
                              </a:spcBef>
                              <a:spcAft>
                                <a:spcPct val="0"/>
                              </a:spcAft>
                              <a:defRPr kern="1200">
                                <a:solidFill>
                                  <a:schemeClr val="tx1"/>
                                </a:solidFill>
                                <a:latin typeface="Arial" pitchFamily="-111" charset="0"/>
                                <a:ea typeface="+mn-ea"/>
                                <a:cs typeface="+mn-cs"/>
                              </a:defRPr>
                            </a:lvl5pPr>
                            <a:lvl6pPr marL="2286000" algn="l" defTabSz="457200" rtl="0" eaLnBrk="1" latinLnBrk="0" hangingPunct="1">
                              <a:defRPr kern="1200">
                                <a:solidFill>
                                  <a:schemeClr val="tx1"/>
                                </a:solidFill>
                                <a:latin typeface="Arial" pitchFamily="-111" charset="0"/>
                                <a:ea typeface="+mn-ea"/>
                                <a:cs typeface="+mn-cs"/>
                              </a:defRPr>
                            </a:lvl6pPr>
                            <a:lvl7pPr marL="2743200" algn="l" defTabSz="457200" rtl="0" eaLnBrk="1" latinLnBrk="0" hangingPunct="1">
                              <a:defRPr kern="1200">
                                <a:solidFill>
                                  <a:schemeClr val="tx1"/>
                                </a:solidFill>
                                <a:latin typeface="Arial" pitchFamily="-111" charset="0"/>
                                <a:ea typeface="+mn-ea"/>
                                <a:cs typeface="+mn-cs"/>
                              </a:defRPr>
                            </a:lvl7pPr>
                            <a:lvl8pPr marL="3200400" algn="l" defTabSz="457200" rtl="0" eaLnBrk="1" latinLnBrk="0" hangingPunct="1">
                              <a:defRPr kern="1200">
                                <a:solidFill>
                                  <a:schemeClr val="tx1"/>
                                </a:solidFill>
                                <a:latin typeface="Arial" pitchFamily="-111" charset="0"/>
                                <a:ea typeface="+mn-ea"/>
                                <a:cs typeface="+mn-cs"/>
                              </a:defRPr>
                            </a:lvl8pPr>
                            <a:lvl9pPr marL="3657600" algn="l" defTabSz="457200" rtl="0" eaLnBrk="1" latinLnBrk="0" hangingPunct="1">
                              <a:defRPr kern="1200">
                                <a:solidFill>
                                  <a:schemeClr val="tx1"/>
                                </a:solidFill>
                                <a:latin typeface="Arial" pitchFamily="-111" charset="0"/>
                                <a:ea typeface="+mn-ea"/>
                                <a:cs typeface="+mn-cs"/>
                              </a:defRPr>
                            </a:lvl9pPr>
                          </a:lstStyle>
                          <a:p>
                            <a:r>
                              <a:rPr lang="en-US" sz="1200"/>
                              <a:t>1131</a:t>
                            </a:r>
                          </a:p>
                        </a:txBody>
                        <a:useSpRect/>
                      </a:txSp>
                    </a:sp>
                    <a:sp>
                      <a:nvSpPr>
                        <a:cNvPr id="27655" name="Text Box 11"/>
                        <a:cNvSpPr txBox="1">
                          <a:spLocks noChangeArrowheads="1"/>
                        </a:cNvSpPr>
                      </a:nvSpPr>
                      <a:spPr bwMode="auto">
                        <a:xfrm>
                          <a:off x="1042013" y="3068826"/>
                          <a:ext cx="563563" cy="274638"/>
                        </a:xfrm>
                        <a:prstGeom prst="rect">
                          <a:avLst/>
                        </a:prstGeom>
                        <a:noFill/>
                        <a:ln w="9525">
                          <a:noFill/>
                          <a:miter lim="800000"/>
                          <a:headEnd/>
                          <a:tailEnd/>
                        </a:ln>
                      </a:spPr>
                      <a:txSp>
                        <a:txBody>
                          <a:bodyPr wrap="none">
                            <a:prstTxWarp prst="textNoShape">
                              <a:avLst/>
                            </a:prstTxWarp>
                            <a:spAutoFit/>
                          </a:bodyPr>
                          <a:lstStyle>
                            <a:defPPr>
                              <a:defRPr lang="en-US"/>
                            </a:defPPr>
                            <a:lvl1pPr algn="l" rtl="0" eaLnBrk="0" fontAlgn="base" hangingPunct="0">
                              <a:spcBef>
                                <a:spcPct val="0"/>
                              </a:spcBef>
                              <a:spcAft>
                                <a:spcPct val="0"/>
                              </a:spcAft>
                              <a:defRPr kern="1200">
                                <a:solidFill>
                                  <a:schemeClr val="tx1"/>
                                </a:solidFill>
                                <a:latin typeface="Arial" pitchFamily="-111" charset="0"/>
                                <a:ea typeface="+mn-ea"/>
                                <a:cs typeface="+mn-cs"/>
                              </a:defRPr>
                            </a:lvl1pPr>
                            <a:lvl2pPr marL="457200" algn="l" rtl="0" eaLnBrk="0" fontAlgn="base" hangingPunct="0">
                              <a:spcBef>
                                <a:spcPct val="0"/>
                              </a:spcBef>
                              <a:spcAft>
                                <a:spcPct val="0"/>
                              </a:spcAft>
                              <a:defRPr kern="1200">
                                <a:solidFill>
                                  <a:schemeClr val="tx1"/>
                                </a:solidFill>
                                <a:latin typeface="Arial" pitchFamily="-111" charset="0"/>
                                <a:ea typeface="+mn-ea"/>
                                <a:cs typeface="+mn-cs"/>
                              </a:defRPr>
                            </a:lvl2pPr>
                            <a:lvl3pPr marL="914400" algn="l" rtl="0" eaLnBrk="0" fontAlgn="base" hangingPunct="0">
                              <a:spcBef>
                                <a:spcPct val="0"/>
                              </a:spcBef>
                              <a:spcAft>
                                <a:spcPct val="0"/>
                              </a:spcAft>
                              <a:defRPr kern="1200">
                                <a:solidFill>
                                  <a:schemeClr val="tx1"/>
                                </a:solidFill>
                                <a:latin typeface="Arial" pitchFamily="-111" charset="0"/>
                                <a:ea typeface="+mn-ea"/>
                                <a:cs typeface="+mn-cs"/>
                              </a:defRPr>
                            </a:lvl3pPr>
                            <a:lvl4pPr marL="1371600" algn="l" rtl="0" eaLnBrk="0" fontAlgn="base" hangingPunct="0">
                              <a:spcBef>
                                <a:spcPct val="0"/>
                              </a:spcBef>
                              <a:spcAft>
                                <a:spcPct val="0"/>
                              </a:spcAft>
                              <a:defRPr kern="1200">
                                <a:solidFill>
                                  <a:schemeClr val="tx1"/>
                                </a:solidFill>
                                <a:latin typeface="Arial" pitchFamily="-111" charset="0"/>
                                <a:ea typeface="+mn-ea"/>
                                <a:cs typeface="+mn-cs"/>
                              </a:defRPr>
                            </a:lvl4pPr>
                            <a:lvl5pPr marL="1828800" algn="l" rtl="0" eaLnBrk="0" fontAlgn="base" hangingPunct="0">
                              <a:spcBef>
                                <a:spcPct val="0"/>
                              </a:spcBef>
                              <a:spcAft>
                                <a:spcPct val="0"/>
                              </a:spcAft>
                              <a:defRPr kern="1200">
                                <a:solidFill>
                                  <a:schemeClr val="tx1"/>
                                </a:solidFill>
                                <a:latin typeface="Arial" pitchFamily="-111" charset="0"/>
                                <a:ea typeface="+mn-ea"/>
                                <a:cs typeface="+mn-cs"/>
                              </a:defRPr>
                            </a:lvl5pPr>
                            <a:lvl6pPr marL="2286000" algn="l" defTabSz="457200" rtl="0" eaLnBrk="1" latinLnBrk="0" hangingPunct="1">
                              <a:defRPr kern="1200">
                                <a:solidFill>
                                  <a:schemeClr val="tx1"/>
                                </a:solidFill>
                                <a:latin typeface="Arial" pitchFamily="-111" charset="0"/>
                                <a:ea typeface="+mn-ea"/>
                                <a:cs typeface="+mn-cs"/>
                              </a:defRPr>
                            </a:lvl6pPr>
                            <a:lvl7pPr marL="2743200" algn="l" defTabSz="457200" rtl="0" eaLnBrk="1" latinLnBrk="0" hangingPunct="1">
                              <a:defRPr kern="1200">
                                <a:solidFill>
                                  <a:schemeClr val="tx1"/>
                                </a:solidFill>
                                <a:latin typeface="Arial" pitchFamily="-111" charset="0"/>
                                <a:ea typeface="+mn-ea"/>
                                <a:cs typeface="+mn-cs"/>
                              </a:defRPr>
                            </a:lvl7pPr>
                            <a:lvl8pPr marL="3200400" algn="l" defTabSz="457200" rtl="0" eaLnBrk="1" latinLnBrk="0" hangingPunct="1">
                              <a:defRPr kern="1200">
                                <a:solidFill>
                                  <a:schemeClr val="tx1"/>
                                </a:solidFill>
                                <a:latin typeface="Arial" pitchFamily="-111" charset="0"/>
                                <a:ea typeface="+mn-ea"/>
                                <a:cs typeface="+mn-cs"/>
                              </a:defRPr>
                            </a:lvl8pPr>
                            <a:lvl9pPr marL="3657600" algn="l" defTabSz="457200" rtl="0" eaLnBrk="1" latinLnBrk="0" hangingPunct="1">
                              <a:defRPr kern="1200">
                                <a:solidFill>
                                  <a:schemeClr val="tx1"/>
                                </a:solidFill>
                                <a:latin typeface="Arial" pitchFamily="-111" charset="0"/>
                                <a:ea typeface="+mn-ea"/>
                                <a:cs typeface="+mn-cs"/>
                              </a:defRPr>
                            </a:lvl9pPr>
                          </a:lstStyle>
                          <a:p>
                            <a:r>
                              <a:rPr lang="en-US" sz="1200"/>
                              <a:t>Rows</a:t>
                            </a:r>
                          </a:p>
                        </a:txBody>
                        <a:useSpRect/>
                      </a:txSp>
                    </a:sp>
                    <a:sp>
                      <a:nvSpPr>
                        <a:cNvPr id="27656" name="Text Box 12"/>
                        <a:cNvSpPr txBox="1">
                          <a:spLocks noChangeArrowheads="1"/>
                        </a:cNvSpPr>
                      </a:nvSpPr>
                      <a:spPr bwMode="auto">
                        <a:xfrm>
                          <a:off x="1278551" y="5694551"/>
                          <a:ext cx="268288" cy="274638"/>
                        </a:xfrm>
                        <a:prstGeom prst="rect">
                          <a:avLst/>
                        </a:prstGeom>
                        <a:noFill/>
                        <a:ln w="9525">
                          <a:noFill/>
                          <a:miter lim="800000"/>
                          <a:headEnd/>
                          <a:tailEnd/>
                        </a:ln>
                      </a:spPr>
                      <a:txSp>
                        <a:txBody>
                          <a:bodyPr wrap="none">
                            <a:prstTxWarp prst="textNoShape">
                              <a:avLst/>
                            </a:prstTxWarp>
                            <a:spAutoFit/>
                          </a:bodyPr>
                          <a:lstStyle>
                            <a:defPPr>
                              <a:defRPr lang="en-US"/>
                            </a:defPPr>
                            <a:lvl1pPr algn="l" rtl="0" eaLnBrk="0" fontAlgn="base" hangingPunct="0">
                              <a:spcBef>
                                <a:spcPct val="0"/>
                              </a:spcBef>
                              <a:spcAft>
                                <a:spcPct val="0"/>
                              </a:spcAft>
                              <a:defRPr kern="1200">
                                <a:solidFill>
                                  <a:schemeClr val="tx1"/>
                                </a:solidFill>
                                <a:latin typeface="Arial" pitchFamily="-111" charset="0"/>
                                <a:ea typeface="+mn-ea"/>
                                <a:cs typeface="+mn-cs"/>
                              </a:defRPr>
                            </a:lvl1pPr>
                            <a:lvl2pPr marL="457200" algn="l" rtl="0" eaLnBrk="0" fontAlgn="base" hangingPunct="0">
                              <a:spcBef>
                                <a:spcPct val="0"/>
                              </a:spcBef>
                              <a:spcAft>
                                <a:spcPct val="0"/>
                              </a:spcAft>
                              <a:defRPr kern="1200">
                                <a:solidFill>
                                  <a:schemeClr val="tx1"/>
                                </a:solidFill>
                                <a:latin typeface="Arial" pitchFamily="-111" charset="0"/>
                                <a:ea typeface="+mn-ea"/>
                                <a:cs typeface="+mn-cs"/>
                              </a:defRPr>
                            </a:lvl2pPr>
                            <a:lvl3pPr marL="914400" algn="l" rtl="0" eaLnBrk="0" fontAlgn="base" hangingPunct="0">
                              <a:spcBef>
                                <a:spcPct val="0"/>
                              </a:spcBef>
                              <a:spcAft>
                                <a:spcPct val="0"/>
                              </a:spcAft>
                              <a:defRPr kern="1200">
                                <a:solidFill>
                                  <a:schemeClr val="tx1"/>
                                </a:solidFill>
                                <a:latin typeface="Arial" pitchFamily="-111" charset="0"/>
                                <a:ea typeface="+mn-ea"/>
                                <a:cs typeface="+mn-cs"/>
                              </a:defRPr>
                            </a:lvl3pPr>
                            <a:lvl4pPr marL="1371600" algn="l" rtl="0" eaLnBrk="0" fontAlgn="base" hangingPunct="0">
                              <a:spcBef>
                                <a:spcPct val="0"/>
                              </a:spcBef>
                              <a:spcAft>
                                <a:spcPct val="0"/>
                              </a:spcAft>
                              <a:defRPr kern="1200">
                                <a:solidFill>
                                  <a:schemeClr val="tx1"/>
                                </a:solidFill>
                                <a:latin typeface="Arial" pitchFamily="-111" charset="0"/>
                                <a:ea typeface="+mn-ea"/>
                                <a:cs typeface="+mn-cs"/>
                              </a:defRPr>
                            </a:lvl4pPr>
                            <a:lvl5pPr marL="1828800" algn="l" rtl="0" eaLnBrk="0" fontAlgn="base" hangingPunct="0">
                              <a:spcBef>
                                <a:spcPct val="0"/>
                              </a:spcBef>
                              <a:spcAft>
                                <a:spcPct val="0"/>
                              </a:spcAft>
                              <a:defRPr kern="1200">
                                <a:solidFill>
                                  <a:schemeClr val="tx1"/>
                                </a:solidFill>
                                <a:latin typeface="Arial" pitchFamily="-111" charset="0"/>
                                <a:ea typeface="+mn-ea"/>
                                <a:cs typeface="+mn-cs"/>
                              </a:defRPr>
                            </a:lvl5pPr>
                            <a:lvl6pPr marL="2286000" algn="l" defTabSz="457200" rtl="0" eaLnBrk="1" latinLnBrk="0" hangingPunct="1">
                              <a:defRPr kern="1200">
                                <a:solidFill>
                                  <a:schemeClr val="tx1"/>
                                </a:solidFill>
                                <a:latin typeface="Arial" pitchFamily="-111" charset="0"/>
                                <a:ea typeface="+mn-ea"/>
                                <a:cs typeface="+mn-cs"/>
                              </a:defRPr>
                            </a:lvl6pPr>
                            <a:lvl7pPr marL="2743200" algn="l" defTabSz="457200" rtl="0" eaLnBrk="1" latinLnBrk="0" hangingPunct="1">
                              <a:defRPr kern="1200">
                                <a:solidFill>
                                  <a:schemeClr val="tx1"/>
                                </a:solidFill>
                                <a:latin typeface="Arial" pitchFamily="-111" charset="0"/>
                                <a:ea typeface="+mn-ea"/>
                                <a:cs typeface="+mn-cs"/>
                              </a:defRPr>
                            </a:lvl7pPr>
                            <a:lvl8pPr marL="3200400" algn="l" defTabSz="457200" rtl="0" eaLnBrk="1" latinLnBrk="0" hangingPunct="1">
                              <a:defRPr kern="1200">
                                <a:solidFill>
                                  <a:schemeClr val="tx1"/>
                                </a:solidFill>
                                <a:latin typeface="Arial" pitchFamily="-111" charset="0"/>
                                <a:ea typeface="+mn-ea"/>
                                <a:cs typeface="+mn-cs"/>
                              </a:defRPr>
                            </a:lvl8pPr>
                            <a:lvl9pPr marL="3657600" algn="l" defTabSz="457200" rtl="0" eaLnBrk="1" latinLnBrk="0" hangingPunct="1">
                              <a:defRPr kern="1200">
                                <a:solidFill>
                                  <a:schemeClr val="tx1"/>
                                </a:solidFill>
                                <a:latin typeface="Arial" pitchFamily="-111" charset="0"/>
                                <a:ea typeface="+mn-ea"/>
                                <a:cs typeface="+mn-cs"/>
                              </a:defRPr>
                            </a:lvl9pPr>
                          </a:lstStyle>
                          <a:p>
                            <a:r>
                              <a:rPr lang="en-US" sz="1200"/>
                              <a:t>0</a:t>
                            </a:r>
                          </a:p>
                        </a:txBody>
                        <a:useSpRect/>
                      </a:txSp>
                    </a:sp>
                    <a:sp>
                      <a:nvSpPr>
                        <a:cNvPr id="27657" name="Text Box 13"/>
                        <a:cNvSpPr txBox="1">
                          <a:spLocks noChangeArrowheads="1"/>
                        </a:cNvSpPr>
                      </a:nvSpPr>
                      <a:spPr bwMode="auto">
                        <a:xfrm>
                          <a:off x="1083288" y="552638"/>
                          <a:ext cx="520700" cy="274638"/>
                        </a:xfrm>
                        <a:prstGeom prst="rect">
                          <a:avLst/>
                        </a:prstGeom>
                        <a:noFill/>
                        <a:ln w="9525">
                          <a:noFill/>
                          <a:miter lim="800000"/>
                          <a:headEnd/>
                          <a:tailEnd/>
                        </a:ln>
                      </a:spPr>
                      <a:txSp>
                        <a:txBody>
                          <a:bodyPr wrap="none">
                            <a:prstTxWarp prst="textNoShape">
                              <a:avLst/>
                            </a:prstTxWarp>
                            <a:spAutoFit/>
                          </a:bodyPr>
                          <a:lstStyle>
                            <a:defPPr>
                              <a:defRPr lang="en-US"/>
                            </a:defPPr>
                            <a:lvl1pPr algn="l" rtl="0" eaLnBrk="0" fontAlgn="base" hangingPunct="0">
                              <a:spcBef>
                                <a:spcPct val="0"/>
                              </a:spcBef>
                              <a:spcAft>
                                <a:spcPct val="0"/>
                              </a:spcAft>
                              <a:defRPr kern="1200">
                                <a:solidFill>
                                  <a:schemeClr val="tx1"/>
                                </a:solidFill>
                                <a:latin typeface="Arial" pitchFamily="-111" charset="0"/>
                                <a:ea typeface="+mn-ea"/>
                                <a:cs typeface="+mn-cs"/>
                              </a:defRPr>
                            </a:lvl1pPr>
                            <a:lvl2pPr marL="457200" algn="l" rtl="0" eaLnBrk="0" fontAlgn="base" hangingPunct="0">
                              <a:spcBef>
                                <a:spcPct val="0"/>
                              </a:spcBef>
                              <a:spcAft>
                                <a:spcPct val="0"/>
                              </a:spcAft>
                              <a:defRPr kern="1200">
                                <a:solidFill>
                                  <a:schemeClr val="tx1"/>
                                </a:solidFill>
                                <a:latin typeface="Arial" pitchFamily="-111" charset="0"/>
                                <a:ea typeface="+mn-ea"/>
                                <a:cs typeface="+mn-cs"/>
                              </a:defRPr>
                            </a:lvl2pPr>
                            <a:lvl3pPr marL="914400" algn="l" rtl="0" eaLnBrk="0" fontAlgn="base" hangingPunct="0">
                              <a:spcBef>
                                <a:spcPct val="0"/>
                              </a:spcBef>
                              <a:spcAft>
                                <a:spcPct val="0"/>
                              </a:spcAft>
                              <a:defRPr kern="1200">
                                <a:solidFill>
                                  <a:schemeClr val="tx1"/>
                                </a:solidFill>
                                <a:latin typeface="Arial" pitchFamily="-111" charset="0"/>
                                <a:ea typeface="+mn-ea"/>
                                <a:cs typeface="+mn-cs"/>
                              </a:defRPr>
                            </a:lvl3pPr>
                            <a:lvl4pPr marL="1371600" algn="l" rtl="0" eaLnBrk="0" fontAlgn="base" hangingPunct="0">
                              <a:spcBef>
                                <a:spcPct val="0"/>
                              </a:spcBef>
                              <a:spcAft>
                                <a:spcPct val="0"/>
                              </a:spcAft>
                              <a:defRPr kern="1200">
                                <a:solidFill>
                                  <a:schemeClr val="tx1"/>
                                </a:solidFill>
                                <a:latin typeface="Arial" pitchFamily="-111" charset="0"/>
                                <a:ea typeface="+mn-ea"/>
                                <a:cs typeface="+mn-cs"/>
                              </a:defRPr>
                            </a:lvl4pPr>
                            <a:lvl5pPr marL="1828800" algn="l" rtl="0" eaLnBrk="0" fontAlgn="base" hangingPunct="0">
                              <a:spcBef>
                                <a:spcPct val="0"/>
                              </a:spcBef>
                              <a:spcAft>
                                <a:spcPct val="0"/>
                              </a:spcAft>
                              <a:defRPr kern="1200">
                                <a:solidFill>
                                  <a:schemeClr val="tx1"/>
                                </a:solidFill>
                                <a:latin typeface="Arial" pitchFamily="-111" charset="0"/>
                                <a:ea typeface="+mn-ea"/>
                                <a:cs typeface="+mn-cs"/>
                              </a:defRPr>
                            </a:lvl5pPr>
                            <a:lvl6pPr marL="2286000" algn="l" defTabSz="457200" rtl="0" eaLnBrk="1" latinLnBrk="0" hangingPunct="1">
                              <a:defRPr kern="1200">
                                <a:solidFill>
                                  <a:schemeClr val="tx1"/>
                                </a:solidFill>
                                <a:latin typeface="Arial" pitchFamily="-111" charset="0"/>
                                <a:ea typeface="+mn-ea"/>
                                <a:cs typeface="+mn-cs"/>
                              </a:defRPr>
                            </a:lvl6pPr>
                            <a:lvl7pPr marL="2743200" algn="l" defTabSz="457200" rtl="0" eaLnBrk="1" latinLnBrk="0" hangingPunct="1">
                              <a:defRPr kern="1200">
                                <a:solidFill>
                                  <a:schemeClr val="tx1"/>
                                </a:solidFill>
                                <a:latin typeface="Arial" pitchFamily="-111" charset="0"/>
                                <a:ea typeface="+mn-ea"/>
                                <a:cs typeface="+mn-cs"/>
                              </a:defRPr>
                            </a:lvl7pPr>
                            <a:lvl8pPr marL="3200400" algn="l" defTabSz="457200" rtl="0" eaLnBrk="1" latinLnBrk="0" hangingPunct="1">
                              <a:defRPr kern="1200">
                                <a:solidFill>
                                  <a:schemeClr val="tx1"/>
                                </a:solidFill>
                                <a:latin typeface="Arial" pitchFamily="-111" charset="0"/>
                                <a:ea typeface="+mn-ea"/>
                                <a:cs typeface="+mn-cs"/>
                              </a:defRPr>
                            </a:lvl8pPr>
                            <a:lvl9pPr marL="3657600" algn="l" defTabSz="457200" rtl="0" eaLnBrk="1" latinLnBrk="0" hangingPunct="1">
                              <a:defRPr kern="1200">
                                <a:solidFill>
                                  <a:schemeClr val="tx1"/>
                                </a:solidFill>
                                <a:latin typeface="Arial" pitchFamily="-111" charset="0"/>
                                <a:ea typeface="+mn-ea"/>
                                <a:cs typeface="+mn-cs"/>
                              </a:defRPr>
                            </a:lvl9pPr>
                          </a:lstStyle>
                          <a:p>
                            <a:r>
                              <a:rPr lang="en-US" sz="1200" dirty="0"/>
                              <a:t>1069</a:t>
                            </a:r>
                          </a:p>
                        </a:txBody>
                        <a:useSpRect/>
                      </a:txSp>
                    </a:sp>
                    <a:sp>
                      <a:nvSpPr>
                        <a:cNvPr id="10" name="TextBox 9"/>
                        <a:cNvSpPr txBox="1"/>
                      </a:nvSpPr>
                      <a:spPr>
                        <a:xfrm>
                          <a:off x="4943007" y="4614520"/>
                          <a:ext cx="1218647" cy="461665"/>
                        </a:xfrm>
                        <a:prstGeom prst="rect">
                          <a:avLst/>
                        </a:prstGeom>
                        <a:solidFill>
                          <a:schemeClr val="bg1"/>
                        </a:solidFill>
                      </a:spPr>
                      <a:txSp>
                        <a:txBody>
                          <a:bodyPr wrap="square" rtlCol="0">
                            <a:spAutoFit/>
                          </a:bodyPr>
                          <a:lstStyle>
                            <a:defPPr>
                              <a:defRPr lang="en-US"/>
                            </a:defPPr>
                            <a:lvl1pPr algn="l" rtl="0" eaLnBrk="0" fontAlgn="base" hangingPunct="0">
                              <a:spcBef>
                                <a:spcPct val="0"/>
                              </a:spcBef>
                              <a:spcAft>
                                <a:spcPct val="0"/>
                              </a:spcAft>
                              <a:defRPr kern="1200">
                                <a:solidFill>
                                  <a:schemeClr val="tx1"/>
                                </a:solidFill>
                                <a:latin typeface="Arial" pitchFamily="-111" charset="0"/>
                                <a:ea typeface="+mn-ea"/>
                                <a:cs typeface="+mn-cs"/>
                              </a:defRPr>
                            </a:lvl1pPr>
                            <a:lvl2pPr marL="457200" algn="l" rtl="0" eaLnBrk="0" fontAlgn="base" hangingPunct="0">
                              <a:spcBef>
                                <a:spcPct val="0"/>
                              </a:spcBef>
                              <a:spcAft>
                                <a:spcPct val="0"/>
                              </a:spcAft>
                              <a:defRPr kern="1200">
                                <a:solidFill>
                                  <a:schemeClr val="tx1"/>
                                </a:solidFill>
                                <a:latin typeface="Arial" pitchFamily="-111" charset="0"/>
                                <a:ea typeface="+mn-ea"/>
                                <a:cs typeface="+mn-cs"/>
                              </a:defRPr>
                            </a:lvl2pPr>
                            <a:lvl3pPr marL="914400" algn="l" rtl="0" eaLnBrk="0" fontAlgn="base" hangingPunct="0">
                              <a:spcBef>
                                <a:spcPct val="0"/>
                              </a:spcBef>
                              <a:spcAft>
                                <a:spcPct val="0"/>
                              </a:spcAft>
                              <a:defRPr kern="1200">
                                <a:solidFill>
                                  <a:schemeClr val="tx1"/>
                                </a:solidFill>
                                <a:latin typeface="Arial" pitchFamily="-111" charset="0"/>
                                <a:ea typeface="+mn-ea"/>
                                <a:cs typeface="+mn-cs"/>
                              </a:defRPr>
                            </a:lvl3pPr>
                            <a:lvl4pPr marL="1371600" algn="l" rtl="0" eaLnBrk="0" fontAlgn="base" hangingPunct="0">
                              <a:spcBef>
                                <a:spcPct val="0"/>
                              </a:spcBef>
                              <a:spcAft>
                                <a:spcPct val="0"/>
                              </a:spcAft>
                              <a:defRPr kern="1200">
                                <a:solidFill>
                                  <a:schemeClr val="tx1"/>
                                </a:solidFill>
                                <a:latin typeface="Arial" pitchFamily="-111" charset="0"/>
                                <a:ea typeface="+mn-ea"/>
                                <a:cs typeface="+mn-cs"/>
                              </a:defRPr>
                            </a:lvl4pPr>
                            <a:lvl5pPr marL="1828800" algn="l" rtl="0" eaLnBrk="0" fontAlgn="base" hangingPunct="0">
                              <a:spcBef>
                                <a:spcPct val="0"/>
                              </a:spcBef>
                              <a:spcAft>
                                <a:spcPct val="0"/>
                              </a:spcAft>
                              <a:defRPr kern="1200">
                                <a:solidFill>
                                  <a:schemeClr val="tx1"/>
                                </a:solidFill>
                                <a:latin typeface="Arial" pitchFamily="-111" charset="0"/>
                                <a:ea typeface="+mn-ea"/>
                                <a:cs typeface="+mn-cs"/>
                              </a:defRPr>
                            </a:lvl5pPr>
                            <a:lvl6pPr marL="2286000" algn="l" defTabSz="457200" rtl="0" eaLnBrk="1" latinLnBrk="0" hangingPunct="1">
                              <a:defRPr kern="1200">
                                <a:solidFill>
                                  <a:schemeClr val="tx1"/>
                                </a:solidFill>
                                <a:latin typeface="Arial" pitchFamily="-111" charset="0"/>
                                <a:ea typeface="+mn-ea"/>
                                <a:cs typeface="+mn-cs"/>
                              </a:defRPr>
                            </a:lvl6pPr>
                            <a:lvl7pPr marL="2743200" algn="l" defTabSz="457200" rtl="0" eaLnBrk="1" latinLnBrk="0" hangingPunct="1">
                              <a:defRPr kern="1200">
                                <a:solidFill>
                                  <a:schemeClr val="tx1"/>
                                </a:solidFill>
                                <a:latin typeface="Arial" pitchFamily="-111" charset="0"/>
                                <a:ea typeface="+mn-ea"/>
                                <a:cs typeface="+mn-cs"/>
                              </a:defRPr>
                            </a:lvl7pPr>
                            <a:lvl8pPr marL="3200400" algn="l" defTabSz="457200" rtl="0" eaLnBrk="1" latinLnBrk="0" hangingPunct="1">
                              <a:defRPr kern="1200">
                                <a:solidFill>
                                  <a:schemeClr val="tx1"/>
                                </a:solidFill>
                                <a:latin typeface="Arial" pitchFamily="-111" charset="0"/>
                                <a:ea typeface="+mn-ea"/>
                                <a:cs typeface="+mn-cs"/>
                              </a:defRPr>
                            </a:lvl8pPr>
                            <a:lvl9pPr marL="3657600" algn="l" defTabSz="457200" rtl="0" eaLnBrk="1" latinLnBrk="0" hangingPunct="1">
                              <a:defRPr kern="1200">
                                <a:solidFill>
                                  <a:schemeClr val="tx1"/>
                                </a:solidFill>
                                <a:latin typeface="Arial" pitchFamily="-111" charset="0"/>
                                <a:ea typeface="+mn-ea"/>
                                <a:cs typeface="+mn-cs"/>
                              </a:defRPr>
                            </a:lvl9pPr>
                          </a:lstStyle>
                          <a:p>
                            <a:r>
                              <a:rPr lang="en-US" sz="1200" dirty="0" smtClean="0"/>
                              <a:t>Black/Masked Overlap Pixels</a:t>
                            </a:r>
                            <a:endParaRPr lang="en-US" sz="1200" dirty="0"/>
                          </a:p>
                        </a:txBody>
                        <a:useSpRect/>
                      </a:txSp>
                    </a:sp>
                    <a:sp>
                      <a:nvSpPr>
                        <a:cNvPr id="11" name="TextBox 10"/>
                        <a:cNvSpPr txBox="1"/>
                      </a:nvSpPr>
                      <a:spPr>
                        <a:xfrm>
                          <a:off x="4789359" y="1335293"/>
                          <a:ext cx="1266466" cy="461665"/>
                        </a:xfrm>
                        <a:prstGeom prst="rect">
                          <a:avLst/>
                        </a:prstGeom>
                        <a:solidFill>
                          <a:schemeClr val="bg1"/>
                        </a:solidFill>
                      </a:spPr>
                      <a:txSp>
                        <a:txBody>
                          <a:bodyPr wrap="square" rtlCol="0">
                            <a:spAutoFit/>
                          </a:bodyPr>
                          <a:lstStyle>
                            <a:defPPr>
                              <a:defRPr lang="en-US"/>
                            </a:defPPr>
                            <a:lvl1pPr algn="l" rtl="0" eaLnBrk="0" fontAlgn="base" hangingPunct="0">
                              <a:spcBef>
                                <a:spcPct val="0"/>
                              </a:spcBef>
                              <a:spcAft>
                                <a:spcPct val="0"/>
                              </a:spcAft>
                              <a:defRPr kern="1200">
                                <a:solidFill>
                                  <a:schemeClr val="tx1"/>
                                </a:solidFill>
                                <a:latin typeface="Arial" pitchFamily="-111" charset="0"/>
                                <a:ea typeface="+mn-ea"/>
                                <a:cs typeface="+mn-cs"/>
                              </a:defRPr>
                            </a:lvl1pPr>
                            <a:lvl2pPr marL="457200" algn="l" rtl="0" eaLnBrk="0" fontAlgn="base" hangingPunct="0">
                              <a:spcBef>
                                <a:spcPct val="0"/>
                              </a:spcBef>
                              <a:spcAft>
                                <a:spcPct val="0"/>
                              </a:spcAft>
                              <a:defRPr kern="1200">
                                <a:solidFill>
                                  <a:schemeClr val="tx1"/>
                                </a:solidFill>
                                <a:latin typeface="Arial" pitchFamily="-111" charset="0"/>
                                <a:ea typeface="+mn-ea"/>
                                <a:cs typeface="+mn-cs"/>
                              </a:defRPr>
                            </a:lvl2pPr>
                            <a:lvl3pPr marL="914400" algn="l" rtl="0" eaLnBrk="0" fontAlgn="base" hangingPunct="0">
                              <a:spcBef>
                                <a:spcPct val="0"/>
                              </a:spcBef>
                              <a:spcAft>
                                <a:spcPct val="0"/>
                              </a:spcAft>
                              <a:defRPr kern="1200">
                                <a:solidFill>
                                  <a:schemeClr val="tx1"/>
                                </a:solidFill>
                                <a:latin typeface="Arial" pitchFamily="-111" charset="0"/>
                                <a:ea typeface="+mn-ea"/>
                                <a:cs typeface="+mn-cs"/>
                              </a:defRPr>
                            </a:lvl3pPr>
                            <a:lvl4pPr marL="1371600" algn="l" rtl="0" eaLnBrk="0" fontAlgn="base" hangingPunct="0">
                              <a:spcBef>
                                <a:spcPct val="0"/>
                              </a:spcBef>
                              <a:spcAft>
                                <a:spcPct val="0"/>
                              </a:spcAft>
                              <a:defRPr kern="1200">
                                <a:solidFill>
                                  <a:schemeClr val="tx1"/>
                                </a:solidFill>
                                <a:latin typeface="Arial" pitchFamily="-111" charset="0"/>
                                <a:ea typeface="+mn-ea"/>
                                <a:cs typeface="+mn-cs"/>
                              </a:defRPr>
                            </a:lvl4pPr>
                            <a:lvl5pPr marL="1828800" algn="l" rtl="0" eaLnBrk="0" fontAlgn="base" hangingPunct="0">
                              <a:spcBef>
                                <a:spcPct val="0"/>
                              </a:spcBef>
                              <a:spcAft>
                                <a:spcPct val="0"/>
                              </a:spcAft>
                              <a:defRPr kern="1200">
                                <a:solidFill>
                                  <a:schemeClr val="tx1"/>
                                </a:solidFill>
                                <a:latin typeface="Arial" pitchFamily="-111" charset="0"/>
                                <a:ea typeface="+mn-ea"/>
                                <a:cs typeface="+mn-cs"/>
                              </a:defRPr>
                            </a:lvl5pPr>
                            <a:lvl6pPr marL="2286000" algn="l" defTabSz="457200" rtl="0" eaLnBrk="1" latinLnBrk="0" hangingPunct="1">
                              <a:defRPr kern="1200">
                                <a:solidFill>
                                  <a:schemeClr val="tx1"/>
                                </a:solidFill>
                                <a:latin typeface="Arial" pitchFamily="-111" charset="0"/>
                                <a:ea typeface="+mn-ea"/>
                                <a:cs typeface="+mn-cs"/>
                              </a:defRPr>
                            </a:lvl6pPr>
                            <a:lvl7pPr marL="2743200" algn="l" defTabSz="457200" rtl="0" eaLnBrk="1" latinLnBrk="0" hangingPunct="1">
                              <a:defRPr kern="1200">
                                <a:solidFill>
                                  <a:schemeClr val="tx1"/>
                                </a:solidFill>
                                <a:latin typeface="Arial" pitchFamily="-111" charset="0"/>
                                <a:ea typeface="+mn-ea"/>
                                <a:cs typeface="+mn-cs"/>
                              </a:defRPr>
                            </a:lvl7pPr>
                            <a:lvl8pPr marL="3200400" algn="l" defTabSz="457200" rtl="0" eaLnBrk="1" latinLnBrk="0" hangingPunct="1">
                              <a:defRPr kern="1200">
                                <a:solidFill>
                                  <a:schemeClr val="tx1"/>
                                </a:solidFill>
                                <a:latin typeface="Arial" pitchFamily="-111" charset="0"/>
                                <a:ea typeface="+mn-ea"/>
                                <a:cs typeface="+mn-cs"/>
                              </a:defRPr>
                            </a:lvl8pPr>
                            <a:lvl9pPr marL="3657600" algn="l" defTabSz="457200" rtl="0" eaLnBrk="1" latinLnBrk="0" hangingPunct="1">
                              <a:defRPr kern="1200">
                                <a:solidFill>
                                  <a:schemeClr val="tx1"/>
                                </a:solidFill>
                                <a:latin typeface="Arial" pitchFamily="-111" charset="0"/>
                                <a:ea typeface="+mn-ea"/>
                                <a:cs typeface="+mn-cs"/>
                              </a:defRPr>
                            </a:lvl9pPr>
                          </a:lstStyle>
                          <a:p>
                            <a:r>
                              <a:rPr lang="en-US" sz="1200" dirty="0" smtClean="0"/>
                              <a:t>Black/Smear Overlap Pixels</a:t>
                            </a:r>
                            <a:endParaRPr lang="en-US" sz="1200" dirty="0"/>
                          </a:p>
                        </a:txBody>
                        <a:useSpRect/>
                      </a:txSp>
                    </a:sp>
                    <a:sp>
                      <a:nvSpPr>
                        <a:cNvPr id="25" name="TextBox 24"/>
                        <a:cNvSpPr txBox="1"/>
                      </a:nvSpPr>
                      <a:spPr>
                        <a:xfrm>
                          <a:off x="1928457" y="1998903"/>
                          <a:ext cx="1364029" cy="646331"/>
                        </a:xfrm>
                        <a:prstGeom prst="rect">
                          <a:avLst/>
                        </a:prstGeom>
                        <a:solidFill>
                          <a:srgbClr val="FFFFFF"/>
                        </a:solidFill>
                      </a:spPr>
                      <a:txSp>
                        <a:txBody>
                          <a:bodyPr wrap="square" rtlCol="0">
                            <a:spAutoFit/>
                          </a:bodyPr>
                          <a:lstStyle>
                            <a:defPPr>
                              <a:defRPr lang="en-US"/>
                            </a:defPPr>
                            <a:lvl1pPr algn="l" rtl="0" eaLnBrk="0" fontAlgn="base" hangingPunct="0">
                              <a:spcBef>
                                <a:spcPct val="0"/>
                              </a:spcBef>
                              <a:spcAft>
                                <a:spcPct val="0"/>
                              </a:spcAft>
                              <a:defRPr kern="1200">
                                <a:solidFill>
                                  <a:schemeClr val="tx1"/>
                                </a:solidFill>
                                <a:latin typeface="Arial" pitchFamily="-111" charset="0"/>
                                <a:ea typeface="+mn-ea"/>
                                <a:cs typeface="+mn-cs"/>
                              </a:defRPr>
                            </a:lvl1pPr>
                            <a:lvl2pPr marL="457200" algn="l" rtl="0" eaLnBrk="0" fontAlgn="base" hangingPunct="0">
                              <a:spcBef>
                                <a:spcPct val="0"/>
                              </a:spcBef>
                              <a:spcAft>
                                <a:spcPct val="0"/>
                              </a:spcAft>
                              <a:defRPr kern="1200">
                                <a:solidFill>
                                  <a:schemeClr val="tx1"/>
                                </a:solidFill>
                                <a:latin typeface="Arial" pitchFamily="-111" charset="0"/>
                                <a:ea typeface="+mn-ea"/>
                                <a:cs typeface="+mn-cs"/>
                              </a:defRPr>
                            </a:lvl2pPr>
                            <a:lvl3pPr marL="914400" algn="l" rtl="0" eaLnBrk="0" fontAlgn="base" hangingPunct="0">
                              <a:spcBef>
                                <a:spcPct val="0"/>
                              </a:spcBef>
                              <a:spcAft>
                                <a:spcPct val="0"/>
                              </a:spcAft>
                              <a:defRPr kern="1200">
                                <a:solidFill>
                                  <a:schemeClr val="tx1"/>
                                </a:solidFill>
                                <a:latin typeface="Arial" pitchFamily="-111" charset="0"/>
                                <a:ea typeface="+mn-ea"/>
                                <a:cs typeface="+mn-cs"/>
                              </a:defRPr>
                            </a:lvl3pPr>
                            <a:lvl4pPr marL="1371600" algn="l" rtl="0" eaLnBrk="0" fontAlgn="base" hangingPunct="0">
                              <a:spcBef>
                                <a:spcPct val="0"/>
                              </a:spcBef>
                              <a:spcAft>
                                <a:spcPct val="0"/>
                              </a:spcAft>
                              <a:defRPr kern="1200">
                                <a:solidFill>
                                  <a:schemeClr val="tx1"/>
                                </a:solidFill>
                                <a:latin typeface="Arial" pitchFamily="-111" charset="0"/>
                                <a:ea typeface="+mn-ea"/>
                                <a:cs typeface="+mn-cs"/>
                              </a:defRPr>
                            </a:lvl4pPr>
                            <a:lvl5pPr marL="1828800" algn="l" rtl="0" eaLnBrk="0" fontAlgn="base" hangingPunct="0">
                              <a:spcBef>
                                <a:spcPct val="0"/>
                              </a:spcBef>
                              <a:spcAft>
                                <a:spcPct val="0"/>
                              </a:spcAft>
                              <a:defRPr kern="1200">
                                <a:solidFill>
                                  <a:schemeClr val="tx1"/>
                                </a:solidFill>
                                <a:latin typeface="Arial" pitchFamily="-111" charset="0"/>
                                <a:ea typeface="+mn-ea"/>
                                <a:cs typeface="+mn-cs"/>
                              </a:defRPr>
                            </a:lvl5pPr>
                            <a:lvl6pPr marL="2286000" algn="l" defTabSz="457200" rtl="0" eaLnBrk="1" latinLnBrk="0" hangingPunct="1">
                              <a:defRPr kern="1200">
                                <a:solidFill>
                                  <a:schemeClr val="tx1"/>
                                </a:solidFill>
                                <a:latin typeface="Arial" pitchFamily="-111" charset="0"/>
                                <a:ea typeface="+mn-ea"/>
                                <a:cs typeface="+mn-cs"/>
                              </a:defRPr>
                            </a:lvl6pPr>
                            <a:lvl7pPr marL="2743200" algn="l" defTabSz="457200" rtl="0" eaLnBrk="1" latinLnBrk="0" hangingPunct="1">
                              <a:defRPr kern="1200">
                                <a:solidFill>
                                  <a:schemeClr val="tx1"/>
                                </a:solidFill>
                                <a:latin typeface="Arial" pitchFamily="-111" charset="0"/>
                                <a:ea typeface="+mn-ea"/>
                                <a:cs typeface="+mn-cs"/>
                              </a:defRPr>
                            </a:lvl7pPr>
                            <a:lvl8pPr marL="3200400" algn="l" defTabSz="457200" rtl="0" eaLnBrk="1" latinLnBrk="0" hangingPunct="1">
                              <a:defRPr kern="1200">
                                <a:solidFill>
                                  <a:schemeClr val="tx1"/>
                                </a:solidFill>
                                <a:latin typeface="Arial" pitchFamily="-111" charset="0"/>
                                <a:ea typeface="+mn-ea"/>
                                <a:cs typeface="+mn-cs"/>
                              </a:defRPr>
                            </a:lvl8pPr>
                            <a:lvl9pPr marL="3657600" algn="l" defTabSz="457200" rtl="0" eaLnBrk="1" latinLnBrk="0" hangingPunct="1">
                              <a:defRPr kern="1200">
                                <a:solidFill>
                                  <a:schemeClr val="tx1"/>
                                </a:solidFill>
                                <a:latin typeface="Arial" pitchFamily="-111" charset="0"/>
                                <a:ea typeface="+mn-ea"/>
                                <a:cs typeface="+mn-cs"/>
                              </a:defRPr>
                            </a:lvl9pPr>
                          </a:lstStyle>
                          <a:p>
                            <a:r>
                              <a:rPr lang="en-US" sz="1200" dirty="0" smtClean="0"/>
                              <a:t>Single Short Cadence Target Aperture Pixels</a:t>
                            </a:r>
                            <a:endParaRPr lang="en-US" sz="1200" dirty="0"/>
                          </a:p>
                        </a:txBody>
                        <a:useSpRect/>
                      </a:txSp>
                    </a:sp>
                    <a:sp>
                      <a:nvSpPr>
                        <a:cNvPr id="26" name="Rectangle 25"/>
                        <a:cNvSpPr/>
                      </a:nvSpPr>
                      <a:spPr bwMode="auto">
                        <a:xfrm>
                          <a:off x="6820151" y="611429"/>
                          <a:ext cx="576185" cy="5373521"/>
                        </a:xfrm>
                        <a:prstGeom prst="rect">
                          <a:avLst/>
                        </a:prstGeom>
                        <a:solidFill>
                          <a:srgbClr val="FFFFFF"/>
                        </a:solidFill>
                        <a:ln w="9525" cap="flat" cmpd="sng" algn="ctr">
                          <a:noFill/>
                          <a:prstDash val="solid"/>
                          <a:round/>
                          <a:headEnd type="none" w="med" len="med"/>
                          <a:tailEnd type="none" w="med" len="med"/>
                        </a:ln>
                        <a:effectLst/>
                      </a:spPr>
                      <a:txSp>
                        <a:txBody>
                          <a:bodyPr vert="horz" wrap="square" lIns="91440" tIns="45720" rIns="91440" bIns="45720" numCol="1" rtlCol="0" anchor="t" anchorCtr="0" compatLnSpc="1">
                            <a:prstTxWarp prst="textNoShape">
                              <a:avLst/>
                            </a:prstTxWarp>
                          </a:bodyPr>
                          <a:lstStyle>
                            <a:defPPr>
                              <a:defRPr lang="en-US"/>
                            </a:defPPr>
                            <a:lvl1pPr algn="l" rtl="0" eaLnBrk="0" fontAlgn="base" hangingPunct="0">
                              <a:spcBef>
                                <a:spcPct val="0"/>
                              </a:spcBef>
                              <a:spcAft>
                                <a:spcPct val="0"/>
                              </a:spcAft>
                              <a:defRPr kern="1200">
                                <a:solidFill>
                                  <a:schemeClr val="tx1"/>
                                </a:solidFill>
                                <a:latin typeface="Arial" pitchFamily="-111" charset="0"/>
                                <a:ea typeface="+mn-ea"/>
                                <a:cs typeface="+mn-cs"/>
                              </a:defRPr>
                            </a:lvl1pPr>
                            <a:lvl2pPr marL="457200" algn="l" rtl="0" eaLnBrk="0" fontAlgn="base" hangingPunct="0">
                              <a:spcBef>
                                <a:spcPct val="0"/>
                              </a:spcBef>
                              <a:spcAft>
                                <a:spcPct val="0"/>
                              </a:spcAft>
                              <a:defRPr kern="1200">
                                <a:solidFill>
                                  <a:schemeClr val="tx1"/>
                                </a:solidFill>
                                <a:latin typeface="Arial" pitchFamily="-111" charset="0"/>
                                <a:ea typeface="+mn-ea"/>
                                <a:cs typeface="+mn-cs"/>
                              </a:defRPr>
                            </a:lvl2pPr>
                            <a:lvl3pPr marL="914400" algn="l" rtl="0" eaLnBrk="0" fontAlgn="base" hangingPunct="0">
                              <a:spcBef>
                                <a:spcPct val="0"/>
                              </a:spcBef>
                              <a:spcAft>
                                <a:spcPct val="0"/>
                              </a:spcAft>
                              <a:defRPr kern="1200">
                                <a:solidFill>
                                  <a:schemeClr val="tx1"/>
                                </a:solidFill>
                                <a:latin typeface="Arial" pitchFamily="-111" charset="0"/>
                                <a:ea typeface="+mn-ea"/>
                                <a:cs typeface="+mn-cs"/>
                              </a:defRPr>
                            </a:lvl3pPr>
                            <a:lvl4pPr marL="1371600" algn="l" rtl="0" eaLnBrk="0" fontAlgn="base" hangingPunct="0">
                              <a:spcBef>
                                <a:spcPct val="0"/>
                              </a:spcBef>
                              <a:spcAft>
                                <a:spcPct val="0"/>
                              </a:spcAft>
                              <a:defRPr kern="1200">
                                <a:solidFill>
                                  <a:schemeClr val="tx1"/>
                                </a:solidFill>
                                <a:latin typeface="Arial" pitchFamily="-111" charset="0"/>
                                <a:ea typeface="+mn-ea"/>
                                <a:cs typeface="+mn-cs"/>
                              </a:defRPr>
                            </a:lvl4pPr>
                            <a:lvl5pPr marL="1828800" algn="l" rtl="0" eaLnBrk="0" fontAlgn="base" hangingPunct="0">
                              <a:spcBef>
                                <a:spcPct val="0"/>
                              </a:spcBef>
                              <a:spcAft>
                                <a:spcPct val="0"/>
                              </a:spcAft>
                              <a:defRPr kern="1200">
                                <a:solidFill>
                                  <a:schemeClr val="tx1"/>
                                </a:solidFill>
                                <a:latin typeface="Arial" pitchFamily="-111" charset="0"/>
                                <a:ea typeface="+mn-ea"/>
                                <a:cs typeface="+mn-cs"/>
                              </a:defRPr>
                            </a:lvl5pPr>
                            <a:lvl6pPr marL="2286000" algn="l" defTabSz="457200" rtl="0" eaLnBrk="1" latinLnBrk="0" hangingPunct="1">
                              <a:defRPr kern="1200">
                                <a:solidFill>
                                  <a:schemeClr val="tx1"/>
                                </a:solidFill>
                                <a:latin typeface="Arial" pitchFamily="-111" charset="0"/>
                                <a:ea typeface="+mn-ea"/>
                                <a:cs typeface="+mn-cs"/>
                              </a:defRPr>
                            </a:lvl6pPr>
                            <a:lvl7pPr marL="2743200" algn="l" defTabSz="457200" rtl="0" eaLnBrk="1" latinLnBrk="0" hangingPunct="1">
                              <a:defRPr kern="1200">
                                <a:solidFill>
                                  <a:schemeClr val="tx1"/>
                                </a:solidFill>
                                <a:latin typeface="Arial" pitchFamily="-111" charset="0"/>
                                <a:ea typeface="+mn-ea"/>
                                <a:cs typeface="+mn-cs"/>
                              </a:defRPr>
                            </a:lvl7pPr>
                            <a:lvl8pPr marL="3200400" algn="l" defTabSz="457200" rtl="0" eaLnBrk="1" latinLnBrk="0" hangingPunct="1">
                              <a:defRPr kern="1200">
                                <a:solidFill>
                                  <a:schemeClr val="tx1"/>
                                </a:solidFill>
                                <a:latin typeface="Arial" pitchFamily="-111" charset="0"/>
                                <a:ea typeface="+mn-ea"/>
                                <a:cs typeface="+mn-cs"/>
                              </a:defRPr>
                            </a:lvl8pPr>
                            <a:lvl9pPr marL="3657600" algn="l" defTabSz="457200" rtl="0" eaLnBrk="1" latinLnBrk="0" hangingPunct="1">
                              <a:defRPr kern="1200">
                                <a:solidFill>
                                  <a:schemeClr val="tx1"/>
                                </a:solidFill>
                                <a:latin typeface="Arial" pitchFamily="-111" charset="0"/>
                                <a:ea typeface="+mn-ea"/>
                                <a:cs typeface="+mn-cs"/>
                              </a:defRPr>
                            </a:lvl9pPr>
                          </a:lstStyle>
                          <a:p>
                            <a:pPr marL="0" marR="0" indent="0" algn="l" defTabSz="914400" rtl="0" eaLnBrk="0" fontAlgn="base" latinLnBrk="0" hangingPunct="0">
                              <a:lnSpc>
                                <a:spcPct val="100000"/>
                              </a:lnSpc>
                              <a:spcBef>
                                <a:spcPct val="0"/>
                              </a:spcBef>
                              <a:spcAft>
                                <a:spcPct val="0"/>
                              </a:spcAft>
                              <a:buClrTx/>
                              <a:buSzTx/>
                              <a:buFontTx/>
                              <a:buNone/>
                              <a:tabLst/>
                            </a:pPr>
                            <a:endParaRPr kumimoji="0" lang="en-US" sz="1800" b="0" i="0" u="none" strike="noStrike" cap="none" normalizeH="0" baseline="0">
                              <a:ln>
                                <a:noFill/>
                              </a:ln>
                              <a:solidFill>
                                <a:schemeClr val="tx1"/>
                              </a:solidFill>
                              <a:effectLst/>
                              <a:latin typeface="Arial" charset="0"/>
                            </a:endParaRPr>
                          </a:p>
                        </a:txBody>
                        <a:useSpRect/>
                      </a:txSp>
                    </a:sp>
                  </a:grpSp>
                </lc:lockedCanvas>
              </a:graphicData>
            </a:graphic>
          </wp:inline>
        </w:drawing>
      </w:r>
    </w:p>
    <w:p w:rsidR="00EB4AA3" w:rsidRDefault="00404448" w:rsidP="00404448">
      <w:pPr>
        <w:pStyle w:val="Caption"/>
      </w:pPr>
      <w:bookmarkStart w:id="44" w:name="_Ref109121274"/>
      <w:bookmarkStart w:id="45" w:name="_Toc322942237"/>
      <w:r>
        <w:t xml:space="preserve">Figure </w:t>
      </w:r>
      <w:fldSimple w:instr=" SEQ Figure \* ARABIC ">
        <w:r w:rsidR="000D2EB4">
          <w:rPr>
            <w:noProof/>
          </w:rPr>
          <w:t>7</w:t>
        </w:r>
      </w:fldSimple>
      <w:bookmarkEnd w:id="43"/>
      <w:bookmarkEnd w:id="44"/>
      <w:r>
        <w:t xml:space="preserve">:  Short Cadence Collateral data.  See </w:t>
      </w:r>
      <w:r w:rsidR="00E607E6">
        <w:t>§</w:t>
      </w:r>
      <w:r w:rsidR="004C78B9">
        <w:fldChar w:fldCharType="begin"/>
      </w:r>
      <w:r w:rsidR="00C903B6">
        <w:instrText xml:space="preserve"> REF _Ref201504002 \r \h </w:instrText>
      </w:r>
      <w:r w:rsidR="004C78B9">
        <w:fldChar w:fldCharType="separate"/>
      </w:r>
      <w:r w:rsidR="000D2EB4">
        <w:t>4.5</w:t>
      </w:r>
      <w:r w:rsidR="004C78B9">
        <w:fldChar w:fldCharType="end"/>
      </w:r>
      <w:r>
        <w:t xml:space="preserve"> for a more detailed exposition of image format.</w:t>
      </w:r>
      <w:bookmarkEnd w:id="45"/>
    </w:p>
    <w:p w:rsidR="00404448" w:rsidRPr="00EB4AA3" w:rsidRDefault="00EB4AA3" w:rsidP="00EB4AA3">
      <w:r>
        <w:t xml:space="preserve">It is important to note that the flight system calculates the </w:t>
      </w:r>
      <w:r w:rsidR="003F1BD6">
        <w:t>union</w:t>
      </w:r>
      <w:r w:rsidR="00E47590">
        <w:t xml:space="preserve"> </w:t>
      </w:r>
      <w:r>
        <w:t xml:space="preserve">of rows and columns required by </w:t>
      </w:r>
      <w:r w:rsidR="00E47590">
        <w:t>a</w:t>
      </w:r>
      <w:r>
        <w:t xml:space="preserve"> </w:t>
      </w:r>
      <w:r w:rsidR="00401C27">
        <w:t>SC target</w:t>
      </w:r>
      <w:r w:rsidR="00E47590">
        <w:t>,</w:t>
      </w:r>
      <w:r w:rsidR="00401C27">
        <w:t xml:space="preserve"> then reads them out in row or column </w:t>
      </w:r>
      <w:r w:rsidR="00401C27" w:rsidRPr="00401C27">
        <w:t>numerical order</w:t>
      </w:r>
      <w:r w:rsidR="00401C27">
        <w:t xml:space="preserve">, </w:t>
      </w:r>
      <w:r w:rsidR="00401C27" w:rsidRPr="00401C27">
        <w:rPr>
          <w:i/>
        </w:rPr>
        <w:t xml:space="preserve">regardless of the order in which they were listed in the target </w:t>
      </w:r>
      <w:r w:rsidR="00E47590">
        <w:rPr>
          <w:i/>
        </w:rPr>
        <w:t>aperture</w:t>
      </w:r>
      <w:r w:rsidR="00E47590" w:rsidRPr="00401C27">
        <w:rPr>
          <w:i/>
        </w:rPr>
        <w:t xml:space="preserve"> </w:t>
      </w:r>
      <w:r w:rsidR="00401C27" w:rsidRPr="00401C27">
        <w:rPr>
          <w:i/>
        </w:rPr>
        <w:t>definition</w:t>
      </w:r>
      <w:r w:rsidR="00E47590">
        <w:rPr>
          <w:i/>
        </w:rPr>
        <w:t xml:space="preserve"> table</w:t>
      </w:r>
      <w:r w:rsidR="00401C27">
        <w:t>.  This calculation is unique to SCC</w:t>
      </w:r>
      <w:r w:rsidR="00E11AA2">
        <w:t xml:space="preserve"> data.  A</w:t>
      </w:r>
      <w:r w:rsidR="00401C27">
        <w:t xml:space="preserve"> miscommunication about this ordering led to the </w:t>
      </w:r>
      <w:r w:rsidR="00885A00">
        <w:t xml:space="preserve">scrambled </w:t>
      </w:r>
      <w:r w:rsidR="00401C27">
        <w:t>SC</w:t>
      </w:r>
      <w:r w:rsidR="00885A00">
        <w:t>C smear</w:t>
      </w:r>
      <w:r w:rsidR="004406BE">
        <w:t xml:space="preserve"> </w:t>
      </w:r>
      <w:r w:rsidR="00401C27">
        <w:t>problem and its solution described in KSCI-19080 (Caldwell</w:t>
      </w:r>
      <w:r w:rsidR="005B7790">
        <w:t xml:space="preserve"> and Van Cleve</w:t>
      </w:r>
      <w:r w:rsidR="00401C27">
        <w:t>, 2016).</w:t>
      </w:r>
    </w:p>
    <w:p w:rsidR="00404448" w:rsidRDefault="00404448" w:rsidP="00404448">
      <w:pPr>
        <w:pStyle w:val="Heading4"/>
      </w:pPr>
      <w:bookmarkStart w:id="46" w:name="_Toc322942154"/>
      <w:r>
        <w:t>Reference</w:t>
      </w:r>
      <w:bookmarkEnd w:id="46"/>
    </w:p>
    <w:p w:rsidR="00404448" w:rsidRPr="00856412" w:rsidRDefault="00404448" w:rsidP="00404448">
      <w:r>
        <w:t>If the equivalent of collateral data for Reference pixels is needed, those pixels must be explicitly allocated from the available pool of Reference pixels.  Collateral Data are not collected and accounted for separately as is the case for LC and SC.</w:t>
      </w:r>
    </w:p>
    <w:p w:rsidR="00404448" w:rsidRPr="00394F88" w:rsidRDefault="00404448" w:rsidP="00404448">
      <w:pPr>
        <w:pStyle w:val="Heading2"/>
        <w:rPr>
          <w:sz w:val="22"/>
        </w:rPr>
      </w:pPr>
      <w:bookmarkStart w:id="47" w:name="_Toc322942155"/>
      <w:r w:rsidRPr="00394F88">
        <w:rPr>
          <w:sz w:val="22"/>
        </w:rPr>
        <w:t>Full Field Images</w:t>
      </w:r>
      <w:bookmarkEnd w:id="47"/>
    </w:p>
    <w:p w:rsidR="00404448" w:rsidRPr="00AB33A8" w:rsidRDefault="00404448" w:rsidP="00404448">
      <w:r>
        <w:t xml:space="preserve">All of the pixels, real and virtual, in the </w:t>
      </w:r>
      <w:r w:rsidR="004A3FBE" w:rsidRPr="004A3FBE">
        <w:rPr>
          <w:i/>
        </w:rPr>
        <w:t>Kepler</w:t>
      </w:r>
      <w:r w:rsidR="00F04166">
        <w:t xml:space="preserve"> focal plane are</w:t>
      </w:r>
      <w:r>
        <w:t xml:space="preserve"> collected in a Full Field Image (FFI).  These pixels may be coadded.  FFIs will be collected for calibration and diagnostic purposes, but because of the large data volume of each FFI (400 MB) it is unlikely that they will be used for regular science investigations, as 42 FFIs – representing less than a day of data collection – would fill the SSR.  FFIs will be collected before and after each quarterly roll to verify star location and detector properties, and to characterize image Artifacts (</w:t>
      </w:r>
      <w:r w:rsidR="00E607E6">
        <w:t>§</w:t>
      </w:r>
      <w:r w:rsidR="004C78B9">
        <w:fldChar w:fldCharType="begin"/>
      </w:r>
      <w:r w:rsidR="00C903B6">
        <w:instrText xml:space="preserve"> REF _Ref109120119 \r \h </w:instrText>
      </w:r>
      <w:r w:rsidR="004C78B9">
        <w:fldChar w:fldCharType="separate"/>
      </w:r>
      <w:r w:rsidR="000D2EB4">
        <w:t>6</w:t>
      </w:r>
      <w:r w:rsidR="004C78B9">
        <w:fldChar w:fldCharType="end"/>
      </w:r>
      <w:r>
        <w:t>).</w:t>
      </w:r>
    </w:p>
    <w:p w:rsidR="00404448" w:rsidRPr="00394F88" w:rsidRDefault="00404448" w:rsidP="00404448">
      <w:pPr>
        <w:pStyle w:val="Heading2"/>
        <w:rPr>
          <w:sz w:val="22"/>
        </w:rPr>
      </w:pPr>
      <w:bookmarkStart w:id="48" w:name="_Toc322942156"/>
      <w:r w:rsidRPr="00394F88">
        <w:rPr>
          <w:sz w:val="22"/>
        </w:rPr>
        <w:t>Example Full Field Images</w:t>
      </w:r>
      <w:bookmarkEnd w:id="48"/>
    </w:p>
    <w:p w:rsidR="00404448" w:rsidRDefault="004C78B9" w:rsidP="00404448">
      <w:r>
        <w:fldChar w:fldCharType="begin"/>
      </w:r>
      <w:r w:rsidR="00C903B6">
        <w:instrText xml:space="preserve"> REF _Ref109059684 \h </w:instrText>
      </w:r>
      <w:r>
        <w:fldChar w:fldCharType="separate"/>
      </w:r>
      <w:r w:rsidR="000D2EB4">
        <w:t xml:space="preserve">Figure </w:t>
      </w:r>
      <w:r w:rsidR="000D2EB4">
        <w:rPr>
          <w:noProof/>
        </w:rPr>
        <w:t>8</w:t>
      </w:r>
      <w:r>
        <w:fldChar w:fldCharType="end"/>
      </w:r>
      <w:r w:rsidR="00404448">
        <w:t xml:space="preserve"> and </w:t>
      </w:r>
      <w:r>
        <w:fldChar w:fldCharType="begin"/>
      </w:r>
      <w:r w:rsidR="00C903B6">
        <w:instrText xml:space="preserve"> REF _Ref109060002 \h </w:instrText>
      </w:r>
      <w:r>
        <w:fldChar w:fldCharType="separate"/>
      </w:r>
      <w:r w:rsidR="000D2EB4">
        <w:t xml:space="preserve">Figure </w:t>
      </w:r>
      <w:r w:rsidR="000D2EB4">
        <w:rPr>
          <w:noProof/>
        </w:rPr>
        <w:t>9</w:t>
      </w:r>
      <w:r>
        <w:fldChar w:fldCharType="end"/>
      </w:r>
      <w:r w:rsidR="00404448">
        <w:t xml:space="preserve"> show a synthetic image of a single output channel produced by the End to End Model (ETEM) to illustrate the focal plane and electronics features discussed in Sections </w:t>
      </w:r>
      <w:r>
        <w:fldChar w:fldCharType="begin"/>
      </w:r>
      <w:r w:rsidR="00C903B6">
        <w:instrText xml:space="preserve"> REF _Ref202070603 \r \h </w:instrText>
      </w:r>
      <w:r>
        <w:fldChar w:fldCharType="separate"/>
      </w:r>
      <w:r w:rsidR="000D2EB4">
        <w:t>4</w:t>
      </w:r>
      <w:r>
        <w:fldChar w:fldCharType="end"/>
      </w:r>
      <w:r w:rsidR="00404448">
        <w:t xml:space="preserve"> and </w:t>
      </w:r>
      <w:r>
        <w:fldChar w:fldCharType="begin"/>
      </w:r>
      <w:r w:rsidR="00C903B6">
        <w:instrText xml:space="preserve"> REF _Ref201488538 \r \h </w:instrText>
      </w:r>
      <w:r>
        <w:fldChar w:fldCharType="separate"/>
      </w:r>
      <w:r w:rsidR="000D2EB4">
        <w:t>5</w:t>
      </w:r>
      <w:r>
        <w:fldChar w:fldCharType="end"/>
      </w:r>
      <w:r w:rsidR="00404448">
        <w:t>.  Note the density of stars; apertures rarely contain only the target star, with nothing else visible above the noise floor.</w:t>
      </w:r>
    </w:p>
    <w:p w:rsidR="00404448" w:rsidRDefault="000518AB" w:rsidP="00404448">
      <w:pPr>
        <w:keepNext/>
      </w:pPr>
      <w:r>
        <w:rPr>
          <w:noProof/>
        </w:rPr>
        <w:drawing>
          <wp:inline distT="0" distB="0" distL="0" distR="0">
            <wp:extent cx="5939790" cy="4458335"/>
            <wp:effectExtent l="25400" t="0" r="381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a:srcRect/>
                    <a:stretch>
                      <a:fillRect/>
                    </a:stretch>
                  </pic:blipFill>
                  <pic:spPr bwMode="auto">
                    <a:xfrm>
                      <a:off x="0" y="0"/>
                      <a:ext cx="5939790" cy="4458335"/>
                    </a:xfrm>
                    <a:prstGeom prst="rect">
                      <a:avLst/>
                    </a:prstGeom>
                    <a:noFill/>
                    <a:ln w="9525">
                      <a:noFill/>
                      <a:miter lim="800000"/>
                      <a:headEnd/>
                      <a:tailEnd/>
                    </a:ln>
                  </pic:spPr>
                </pic:pic>
              </a:graphicData>
            </a:graphic>
          </wp:inline>
        </w:drawing>
      </w:r>
    </w:p>
    <w:p w:rsidR="00404448" w:rsidRDefault="00404448" w:rsidP="00404448">
      <w:pPr>
        <w:pStyle w:val="Caption"/>
      </w:pPr>
      <w:bookmarkStart w:id="49" w:name="_Ref109059684"/>
      <w:bookmarkStart w:id="50" w:name="_Toc322942238"/>
      <w:r>
        <w:t xml:space="preserve">Figure </w:t>
      </w:r>
      <w:fldSimple w:instr=" SEQ Figure \* ARABIC ">
        <w:r w:rsidR="000D2EB4">
          <w:rPr>
            <w:noProof/>
          </w:rPr>
          <w:t>8</w:t>
        </w:r>
      </w:fldSimple>
      <w:bookmarkEnd w:id="49"/>
      <w:r>
        <w:t xml:space="preserve">:  </w:t>
      </w:r>
      <w:r w:rsidRPr="001D3AAC">
        <w:t>Right:  Example</w:t>
      </w:r>
      <w:r w:rsidR="005E63A3">
        <w:t xml:space="preserve"> End-to-End Model (ETEM)</w:t>
      </w:r>
      <w:r w:rsidRPr="001D3AAC">
        <w:t xml:space="preserve"> image of a single output Channel for 270 coadded 6.02 s integrations, 1132x1070 pixels.  The images are scaled linearly over the range shown to show the star density.  The upper end of the scale (white) are 14th magnitude and brighter.  The horizontal line at the top of the image is due to Charge Injection.  Left:  Zoomed image of a saturated star showing charge bleeding</w:t>
      </w:r>
      <w:r>
        <w:t xml:space="preserve"> (See </w:t>
      </w:r>
      <w:r w:rsidR="00E607E6">
        <w:t>§</w:t>
      </w:r>
      <w:r w:rsidR="004C78B9">
        <w:fldChar w:fldCharType="begin"/>
      </w:r>
      <w:r w:rsidR="00C903B6">
        <w:instrText xml:space="preserve"> REF _Ref205701128 \r \h </w:instrText>
      </w:r>
      <w:r w:rsidR="004C78B9">
        <w:fldChar w:fldCharType="separate"/>
      </w:r>
      <w:r w:rsidR="000D2EB4">
        <w:t>4.10</w:t>
      </w:r>
      <w:r w:rsidR="004C78B9">
        <w:fldChar w:fldCharType="end"/>
      </w:r>
      <w:r>
        <w:t>)</w:t>
      </w:r>
      <w:r w:rsidR="00F04166">
        <w:t>.</w:t>
      </w:r>
      <w:bookmarkEnd w:id="50"/>
    </w:p>
    <w:p w:rsidR="00404448" w:rsidRDefault="000518AB" w:rsidP="00404448">
      <w:pPr>
        <w:keepNext/>
      </w:pPr>
      <w:r>
        <w:rPr>
          <w:noProof/>
        </w:rPr>
        <w:drawing>
          <wp:inline distT="0" distB="0" distL="0" distR="0">
            <wp:extent cx="5487290" cy="4430395"/>
            <wp:effectExtent l="6095" t="0" r="0" b="0"/>
            <wp:docPr id="13" name="O 5"/>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386638" cy="5965826"/>
                      <a:chOff x="457200" y="152400"/>
                      <a:chExt cx="7386638" cy="5965826"/>
                    </a:xfrm>
                  </a:grpSpPr>
                  <a:grpSp>
                    <a:nvGrpSpPr>
                      <a:cNvPr id="11" name="Group 10"/>
                      <a:cNvGrpSpPr/>
                    </a:nvGrpSpPr>
                    <a:grpSpPr>
                      <a:xfrm>
                        <a:off x="457200" y="152400"/>
                        <a:ext cx="7386638" cy="5965826"/>
                        <a:chOff x="457200" y="152400"/>
                        <a:chExt cx="7386638" cy="5965826"/>
                      </a:xfrm>
                    </a:grpSpPr>
                    <a:pic>
                      <a:nvPicPr>
                        <a:cNvPr id="17411" name="Picture 4"/>
                        <a:cNvPicPr>
                          <a:picLocks noChangeAspect="1" noChangeArrowheads="1"/>
                        </a:cNvPicPr>
                      </a:nvPicPr>
                      <a:blipFill>
                        <a:blip r:embed="rId21"/>
                        <a:srcRect/>
                        <a:stretch>
                          <a:fillRect/>
                        </a:stretch>
                      </a:blipFill>
                      <a:spPr bwMode="auto">
                        <a:xfrm>
                          <a:off x="3810000" y="762000"/>
                          <a:ext cx="4033838" cy="5100638"/>
                        </a:xfrm>
                        <a:prstGeom prst="rect">
                          <a:avLst/>
                        </a:prstGeom>
                        <a:noFill/>
                        <a:ln w="9525">
                          <a:noFill/>
                          <a:miter lim="800000"/>
                          <a:headEnd/>
                          <a:tailEnd/>
                        </a:ln>
                      </a:spPr>
                    </a:pic>
                    <a:pic>
                      <a:nvPicPr>
                        <a:cNvPr id="17412" name="Picture 5"/>
                        <a:cNvPicPr>
                          <a:picLocks noChangeAspect="1" noChangeArrowheads="1"/>
                        </a:cNvPicPr>
                      </a:nvPicPr>
                      <a:blipFill>
                        <a:blip r:embed="rId22"/>
                        <a:srcRect/>
                        <a:stretch>
                          <a:fillRect/>
                        </a:stretch>
                      </a:blipFill>
                      <a:spPr bwMode="auto">
                        <a:xfrm>
                          <a:off x="457200" y="914400"/>
                          <a:ext cx="3200400" cy="4724400"/>
                        </a:xfrm>
                        <a:prstGeom prst="rect">
                          <a:avLst/>
                        </a:prstGeom>
                        <a:noFill/>
                        <a:ln w="9525">
                          <a:noFill/>
                          <a:miter lim="800000"/>
                          <a:headEnd/>
                          <a:tailEnd/>
                        </a:ln>
                      </a:spPr>
                    </a:pic>
                    <a:sp>
                      <a:nvSpPr>
                        <a:cNvPr id="17413" name="Line 6"/>
                        <a:cNvSpPr>
                          <a:spLocks noChangeShapeType="1"/>
                        </a:cNvSpPr>
                      </a:nvSpPr>
                      <a:spPr bwMode="auto">
                        <a:xfrm flipV="1">
                          <a:off x="2514600" y="3505200"/>
                          <a:ext cx="3048000" cy="304800"/>
                        </a:xfrm>
                        <a:prstGeom prst="line">
                          <a:avLst/>
                        </a:prstGeom>
                        <a:noFill/>
                        <a:ln w="19050">
                          <a:solidFill>
                            <a:srgbClr val="66FF33"/>
                          </a:solidFill>
                          <a:round/>
                          <a:headEnd/>
                          <a:tailEnd type="triangle" w="med" len="med"/>
                        </a:ln>
                      </a:spPr>
                      <a:txSp>
                        <a:txBody>
                          <a:bodyPr>
                            <a:prstTxWarp prst="textNoShape">
                              <a:avLst/>
                            </a:prstTxWarp>
                          </a:bodyPr>
                          <a:lstStyle>
                            <a:defPPr>
                              <a:defRPr lang="en-US"/>
                            </a:defPPr>
                            <a:lvl1pPr algn="l" rtl="0" eaLnBrk="0" fontAlgn="base" hangingPunct="0">
                              <a:spcBef>
                                <a:spcPct val="0"/>
                              </a:spcBef>
                              <a:spcAft>
                                <a:spcPct val="0"/>
                              </a:spcAft>
                              <a:defRPr kern="1200">
                                <a:solidFill>
                                  <a:schemeClr val="tx1"/>
                                </a:solidFill>
                                <a:latin typeface="Arial" pitchFamily="-65" charset="0"/>
                                <a:ea typeface="+mn-ea"/>
                                <a:cs typeface="+mn-cs"/>
                              </a:defRPr>
                            </a:lvl1pPr>
                            <a:lvl2pPr marL="457200" algn="l" rtl="0" eaLnBrk="0" fontAlgn="base" hangingPunct="0">
                              <a:spcBef>
                                <a:spcPct val="0"/>
                              </a:spcBef>
                              <a:spcAft>
                                <a:spcPct val="0"/>
                              </a:spcAft>
                              <a:defRPr kern="1200">
                                <a:solidFill>
                                  <a:schemeClr val="tx1"/>
                                </a:solidFill>
                                <a:latin typeface="Arial" pitchFamily="-65" charset="0"/>
                                <a:ea typeface="+mn-ea"/>
                                <a:cs typeface="+mn-cs"/>
                              </a:defRPr>
                            </a:lvl2pPr>
                            <a:lvl3pPr marL="914400" algn="l" rtl="0" eaLnBrk="0" fontAlgn="base" hangingPunct="0">
                              <a:spcBef>
                                <a:spcPct val="0"/>
                              </a:spcBef>
                              <a:spcAft>
                                <a:spcPct val="0"/>
                              </a:spcAft>
                              <a:defRPr kern="1200">
                                <a:solidFill>
                                  <a:schemeClr val="tx1"/>
                                </a:solidFill>
                                <a:latin typeface="Arial" pitchFamily="-65" charset="0"/>
                                <a:ea typeface="+mn-ea"/>
                                <a:cs typeface="+mn-cs"/>
                              </a:defRPr>
                            </a:lvl3pPr>
                            <a:lvl4pPr marL="1371600" algn="l" rtl="0" eaLnBrk="0" fontAlgn="base" hangingPunct="0">
                              <a:spcBef>
                                <a:spcPct val="0"/>
                              </a:spcBef>
                              <a:spcAft>
                                <a:spcPct val="0"/>
                              </a:spcAft>
                              <a:defRPr kern="1200">
                                <a:solidFill>
                                  <a:schemeClr val="tx1"/>
                                </a:solidFill>
                                <a:latin typeface="Arial" pitchFamily="-65" charset="0"/>
                                <a:ea typeface="+mn-ea"/>
                                <a:cs typeface="+mn-cs"/>
                              </a:defRPr>
                            </a:lvl4pPr>
                            <a:lvl5pPr marL="1828800" algn="l" rtl="0" eaLnBrk="0" fontAlgn="base" hangingPunct="0">
                              <a:spcBef>
                                <a:spcPct val="0"/>
                              </a:spcBef>
                              <a:spcAft>
                                <a:spcPct val="0"/>
                              </a:spcAft>
                              <a:defRPr kern="1200">
                                <a:solidFill>
                                  <a:schemeClr val="tx1"/>
                                </a:solidFill>
                                <a:latin typeface="Arial" pitchFamily="-65" charset="0"/>
                                <a:ea typeface="+mn-ea"/>
                                <a:cs typeface="+mn-cs"/>
                              </a:defRPr>
                            </a:lvl5pPr>
                            <a:lvl6pPr marL="2286000" algn="l" defTabSz="457200" rtl="0" eaLnBrk="1" latinLnBrk="0" hangingPunct="1">
                              <a:defRPr kern="1200">
                                <a:solidFill>
                                  <a:schemeClr val="tx1"/>
                                </a:solidFill>
                                <a:latin typeface="Arial" pitchFamily="-65" charset="0"/>
                                <a:ea typeface="+mn-ea"/>
                                <a:cs typeface="+mn-cs"/>
                              </a:defRPr>
                            </a:lvl6pPr>
                            <a:lvl7pPr marL="2743200" algn="l" defTabSz="457200" rtl="0" eaLnBrk="1" latinLnBrk="0" hangingPunct="1">
                              <a:defRPr kern="1200">
                                <a:solidFill>
                                  <a:schemeClr val="tx1"/>
                                </a:solidFill>
                                <a:latin typeface="Arial" pitchFamily="-65" charset="0"/>
                                <a:ea typeface="+mn-ea"/>
                                <a:cs typeface="+mn-cs"/>
                              </a:defRPr>
                            </a:lvl7pPr>
                            <a:lvl8pPr marL="3200400" algn="l" defTabSz="457200" rtl="0" eaLnBrk="1" latinLnBrk="0" hangingPunct="1">
                              <a:defRPr kern="1200">
                                <a:solidFill>
                                  <a:schemeClr val="tx1"/>
                                </a:solidFill>
                                <a:latin typeface="Arial" pitchFamily="-65" charset="0"/>
                                <a:ea typeface="+mn-ea"/>
                                <a:cs typeface="+mn-cs"/>
                              </a:defRPr>
                            </a:lvl8pPr>
                            <a:lvl9pPr marL="3657600" algn="l" defTabSz="457200" rtl="0" eaLnBrk="1" latinLnBrk="0" hangingPunct="1">
                              <a:defRPr kern="1200">
                                <a:solidFill>
                                  <a:schemeClr val="tx1"/>
                                </a:solidFill>
                                <a:latin typeface="Arial" pitchFamily="-65" charset="0"/>
                                <a:ea typeface="+mn-ea"/>
                                <a:cs typeface="+mn-cs"/>
                              </a:defRPr>
                            </a:lvl9pPr>
                          </a:lstStyle>
                          <a:p>
                            <a:endParaRPr lang="en-US"/>
                          </a:p>
                        </a:txBody>
                        <a:useSpRect/>
                      </a:txSp>
                    </a:sp>
                    <a:sp>
                      <a:nvSpPr>
                        <a:cNvPr id="17414" name="Text Box 7"/>
                        <a:cNvSpPr txBox="1">
                          <a:spLocks noChangeArrowheads="1"/>
                        </a:cNvSpPr>
                      </a:nvSpPr>
                      <a:spPr bwMode="auto">
                        <a:xfrm>
                          <a:off x="669925" y="5751513"/>
                          <a:ext cx="2203450" cy="366713"/>
                        </a:xfrm>
                        <a:prstGeom prst="rect">
                          <a:avLst/>
                        </a:prstGeom>
                        <a:noFill/>
                        <a:ln w="9525">
                          <a:noFill/>
                          <a:miter lim="800000"/>
                          <a:headEnd/>
                          <a:tailEnd/>
                        </a:ln>
                      </a:spPr>
                      <a:txSp>
                        <a:txBody>
                          <a:bodyPr wrap="none">
                            <a:prstTxWarp prst="textNoShape">
                              <a:avLst/>
                            </a:prstTxWarp>
                            <a:spAutoFit/>
                          </a:bodyPr>
                          <a:lstStyle>
                            <a:defPPr>
                              <a:defRPr lang="en-US"/>
                            </a:defPPr>
                            <a:lvl1pPr algn="l" rtl="0" eaLnBrk="0" fontAlgn="base" hangingPunct="0">
                              <a:spcBef>
                                <a:spcPct val="0"/>
                              </a:spcBef>
                              <a:spcAft>
                                <a:spcPct val="0"/>
                              </a:spcAft>
                              <a:defRPr kern="1200">
                                <a:solidFill>
                                  <a:schemeClr val="tx1"/>
                                </a:solidFill>
                                <a:latin typeface="Arial" pitchFamily="-65" charset="0"/>
                                <a:ea typeface="+mn-ea"/>
                                <a:cs typeface="+mn-cs"/>
                              </a:defRPr>
                            </a:lvl1pPr>
                            <a:lvl2pPr marL="457200" algn="l" rtl="0" eaLnBrk="0" fontAlgn="base" hangingPunct="0">
                              <a:spcBef>
                                <a:spcPct val="0"/>
                              </a:spcBef>
                              <a:spcAft>
                                <a:spcPct val="0"/>
                              </a:spcAft>
                              <a:defRPr kern="1200">
                                <a:solidFill>
                                  <a:schemeClr val="tx1"/>
                                </a:solidFill>
                                <a:latin typeface="Arial" pitchFamily="-65" charset="0"/>
                                <a:ea typeface="+mn-ea"/>
                                <a:cs typeface="+mn-cs"/>
                              </a:defRPr>
                            </a:lvl2pPr>
                            <a:lvl3pPr marL="914400" algn="l" rtl="0" eaLnBrk="0" fontAlgn="base" hangingPunct="0">
                              <a:spcBef>
                                <a:spcPct val="0"/>
                              </a:spcBef>
                              <a:spcAft>
                                <a:spcPct val="0"/>
                              </a:spcAft>
                              <a:defRPr kern="1200">
                                <a:solidFill>
                                  <a:schemeClr val="tx1"/>
                                </a:solidFill>
                                <a:latin typeface="Arial" pitchFamily="-65" charset="0"/>
                                <a:ea typeface="+mn-ea"/>
                                <a:cs typeface="+mn-cs"/>
                              </a:defRPr>
                            </a:lvl3pPr>
                            <a:lvl4pPr marL="1371600" algn="l" rtl="0" eaLnBrk="0" fontAlgn="base" hangingPunct="0">
                              <a:spcBef>
                                <a:spcPct val="0"/>
                              </a:spcBef>
                              <a:spcAft>
                                <a:spcPct val="0"/>
                              </a:spcAft>
                              <a:defRPr kern="1200">
                                <a:solidFill>
                                  <a:schemeClr val="tx1"/>
                                </a:solidFill>
                                <a:latin typeface="Arial" pitchFamily="-65" charset="0"/>
                                <a:ea typeface="+mn-ea"/>
                                <a:cs typeface="+mn-cs"/>
                              </a:defRPr>
                            </a:lvl4pPr>
                            <a:lvl5pPr marL="1828800" algn="l" rtl="0" eaLnBrk="0" fontAlgn="base" hangingPunct="0">
                              <a:spcBef>
                                <a:spcPct val="0"/>
                              </a:spcBef>
                              <a:spcAft>
                                <a:spcPct val="0"/>
                              </a:spcAft>
                              <a:defRPr kern="1200">
                                <a:solidFill>
                                  <a:schemeClr val="tx1"/>
                                </a:solidFill>
                                <a:latin typeface="Arial" pitchFamily="-65" charset="0"/>
                                <a:ea typeface="+mn-ea"/>
                                <a:cs typeface="+mn-cs"/>
                              </a:defRPr>
                            </a:lvl5pPr>
                            <a:lvl6pPr marL="2286000" algn="l" defTabSz="457200" rtl="0" eaLnBrk="1" latinLnBrk="0" hangingPunct="1">
                              <a:defRPr kern="1200">
                                <a:solidFill>
                                  <a:schemeClr val="tx1"/>
                                </a:solidFill>
                                <a:latin typeface="Arial" pitchFamily="-65" charset="0"/>
                                <a:ea typeface="+mn-ea"/>
                                <a:cs typeface="+mn-cs"/>
                              </a:defRPr>
                            </a:lvl6pPr>
                            <a:lvl7pPr marL="2743200" algn="l" defTabSz="457200" rtl="0" eaLnBrk="1" latinLnBrk="0" hangingPunct="1">
                              <a:defRPr kern="1200">
                                <a:solidFill>
                                  <a:schemeClr val="tx1"/>
                                </a:solidFill>
                                <a:latin typeface="Arial" pitchFamily="-65" charset="0"/>
                                <a:ea typeface="+mn-ea"/>
                                <a:cs typeface="+mn-cs"/>
                              </a:defRPr>
                            </a:lvl7pPr>
                            <a:lvl8pPr marL="3200400" algn="l" defTabSz="457200" rtl="0" eaLnBrk="1" latinLnBrk="0" hangingPunct="1">
                              <a:defRPr kern="1200">
                                <a:solidFill>
                                  <a:schemeClr val="tx1"/>
                                </a:solidFill>
                                <a:latin typeface="Arial" pitchFamily="-65" charset="0"/>
                                <a:ea typeface="+mn-ea"/>
                                <a:cs typeface="+mn-cs"/>
                              </a:defRPr>
                            </a:lvl8pPr>
                            <a:lvl9pPr marL="3657600" algn="l" defTabSz="457200" rtl="0" eaLnBrk="1" latinLnBrk="0" hangingPunct="1">
                              <a:defRPr kern="1200">
                                <a:solidFill>
                                  <a:schemeClr val="tx1"/>
                                </a:solidFill>
                                <a:latin typeface="Arial" pitchFamily="-65" charset="0"/>
                                <a:ea typeface="+mn-ea"/>
                                <a:cs typeface="+mn-cs"/>
                              </a:defRPr>
                            </a:lvl9pPr>
                          </a:lstStyle>
                          <a:p>
                            <a:r>
                              <a:rPr lang="en-US"/>
                              <a:t>FGS clock crosstalk</a:t>
                            </a:r>
                          </a:p>
                        </a:txBody>
                        <a:useSpRect/>
                      </a:txSp>
                    </a:sp>
                    <a:sp>
                      <a:nvSpPr>
                        <a:cNvPr id="17415" name="Line 8"/>
                        <a:cNvSpPr>
                          <a:spLocks noChangeShapeType="1"/>
                        </a:cNvSpPr>
                      </a:nvSpPr>
                      <a:spPr bwMode="auto">
                        <a:xfrm flipH="1" flipV="1">
                          <a:off x="1752600" y="4953000"/>
                          <a:ext cx="228600" cy="838200"/>
                        </a:xfrm>
                        <a:prstGeom prst="line">
                          <a:avLst/>
                        </a:prstGeom>
                        <a:noFill/>
                        <a:ln w="19050">
                          <a:solidFill>
                            <a:srgbClr val="66FF33"/>
                          </a:solidFill>
                          <a:round/>
                          <a:headEnd/>
                          <a:tailEnd type="triangle" w="med" len="med"/>
                        </a:ln>
                      </a:spPr>
                      <a:txSp>
                        <a:txBody>
                          <a:bodyPr>
                            <a:prstTxWarp prst="textNoShape">
                              <a:avLst/>
                            </a:prstTxWarp>
                          </a:bodyPr>
                          <a:lstStyle>
                            <a:defPPr>
                              <a:defRPr lang="en-US"/>
                            </a:defPPr>
                            <a:lvl1pPr algn="l" rtl="0" eaLnBrk="0" fontAlgn="base" hangingPunct="0">
                              <a:spcBef>
                                <a:spcPct val="0"/>
                              </a:spcBef>
                              <a:spcAft>
                                <a:spcPct val="0"/>
                              </a:spcAft>
                              <a:defRPr kern="1200">
                                <a:solidFill>
                                  <a:schemeClr val="tx1"/>
                                </a:solidFill>
                                <a:latin typeface="Arial" pitchFamily="-65" charset="0"/>
                                <a:ea typeface="+mn-ea"/>
                                <a:cs typeface="+mn-cs"/>
                              </a:defRPr>
                            </a:lvl1pPr>
                            <a:lvl2pPr marL="457200" algn="l" rtl="0" eaLnBrk="0" fontAlgn="base" hangingPunct="0">
                              <a:spcBef>
                                <a:spcPct val="0"/>
                              </a:spcBef>
                              <a:spcAft>
                                <a:spcPct val="0"/>
                              </a:spcAft>
                              <a:defRPr kern="1200">
                                <a:solidFill>
                                  <a:schemeClr val="tx1"/>
                                </a:solidFill>
                                <a:latin typeface="Arial" pitchFamily="-65" charset="0"/>
                                <a:ea typeface="+mn-ea"/>
                                <a:cs typeface="+mn-cs"/>
                              </a:defRPr>
                            </a:lvl2pPr>
                            <a:lvl3pPr marL="914400" algn="l" rtl="0" eaLnBrk="0" fontAlgn="base" hangingPunct="0">
                              <a:spcBef>
                                <a:spcPct val="0"/>
                              </a:spcBef>
                              <a:spcAft>
                                <a:spcPct val="0"/>
                              </a:spcAft>
                              <a:defRPr kern="1200">
                                <a:solidFill>
                                  <a:schemeClr val="tx1"/>
                                </a:solidFill>
                                <a:latin typeface="Arial" pitchFamily="-65" charset="0"/>
                                <a:ea typeface="+mn-ea"/>
                                <a:cs typeface="+mn-cs"/>
                              </a:defRPr>
                            </a:lvl3pPr>
                            <a:lvl4pPr marL="1371600" algn="l" rtl="0" eaLnBrk="0" fontAlgn="base" hangingPunct="0">
                              <a:spcBef>
                                <a:spcPct val="0"/>
                              </a:spcBef>
                              <a:spcAft>
                                <a:spcPct val="0"/>
                              </a:spcAft>
                              <a:defRPr kern="1200">
                                <a:solidFill>
                                  <a:schemeClr val="tx1"/>
                                </a:solidFill>
                                <a:latin typeface="Arial" pitchFamily="-65" charset="0"/>
                                <a:ea typeface="+mn-ea"/>
                                <a:cs typeface="+mn-cs"/>
                              </a:defRPr>
                            </a:lvl4pPr>
                            <a:lvl5pPr marL="1828800" algn="l" rtl="0" eaLnBrk="0" fontAlgn="base" hangingPunct="0">
                              <a:spcBef>
                                <a:spcPct val="0"/>
                              </a:spcBef>
                              <a:spcAft>
                                <a:spcPct val="0"/>
                              </a:spcAft>
                              <a:defRPr kern="1200">
                                <a:solidFill>
                                  <a:schemeClr val="tx1"/>
                                </a:solidFill>
                                <a:latin typeface="Arial" pitchFamily="-65" charset="0"/>
                                <a:ea typeface="+mn-ea"/>
                                <a:cs typeface="+mn-cs"/>
                              </a:defRPr>
                            </a:lvl5pPr>
                            <a:lvl6pPr marL="2286000" algn="l" defTabSz="457200" rtl="0" eaLnBrk="1" latinLnBrk="0" hangingPunct="1">
                              <a:defRPr kern="1200">
                                <a:solidFill>
                                  <a:schemeClr val="tx1"/>
                                </a:solidFill>
                                <a:latin typeface="Arial" pitchFamily="-65" charset="0"/>
                                <a:ea typeface="+mn-ea"/>
                                <a:cs typeface="+mn-cs"/>
                              </a:defRPr>
                            </a:lvl6pPr>
                            <a:lvl7pPr marL="2743200" algn="l" defTabSz="457200" rtl="0" eaLnBrk="1" latinLnBrk="0" hangingPunct="1">
                              <a:defRPr kern="1200">
                                <a:solidFill>
                                  <a:schemeClr val="tx1"/>
                                </a:solidFill>
                                <a:latin typeface="Arial" pitchFamily="-65" charset="0"/>
                                <a:ea typeface="+mn-ea"/>
                                <a:cs typeface="+mn-cs"/>
                              </a:defRPr>
                            </a:lvl7pPr>
                            <a:lvl8pPr marL="3200400" algn="l" defTabSz="457200" rtl="0" eaLnBrk="1" latinLnBrk="0" hangingPunct="1">
                              <a:defRPr kern="1200">
                                <a:solidFill>
                                  <a:schemeClr val="tx1"/>
                                </a:solidFill>
                                <a:latin typeface="Arial" pitchFamily="-65" charset="0"/>
                                <a:ea typeface="+mn-ea"/>
                                <a:cs typeface="+mn-cs"/>
                              </a:defRPr>
                            </a:lvl8pPr>
                            <a:lvl9pPr marL="3657600" algn="l" defTabSz="457200" rtl="0" eaLnBrk="1" latinLnBrk="0" hangingPunct="1">
                              <a:defRPr kern="1200">
                                <a:solidFill>
                                  <a:schemeClr val="tx1"/>
                                </a:solidFill>
                                <a:latin typeface="Arial" pitchFamily="-65" charset="0"/>
                                <a:ea typeface="+mn-ea"/>
                                <a:cs typeface="+mn-cs"/>
                              </a:defRPr>
                            </a:lvl9pPr>
                          </a:lstStyle>
                          <a:p>
                            <a:endParaRPr lang="en-US"/>
                          </a:p>
                        </a:txBody>
                        <a:useSpRect/>
                      </a:txSp>
                    </a:sp>
                    <a:sp>
                      <a:nvSpPr>
                        <a:cNvPr id="17416" name="Line 9"/>
                        <a:cNvSpPr>
                          <a:spLocks noChangeShapeType="1"/>
                        </a:cNvSpPr>
                      </a:nvSpPr>
                      <a:spPr bwMode="auto">
                        <a:xfrm flipV="1">
                          <a:off x="2819400" y="4495800"/>
                          <a:ext cx="1981200" cy="1219200"/>
                        </a:xfrm>
                        <a:prstGeom prst="line">
                          <a:avLst/>
                        </a:prstGeom>
                        <a:noFill/>
                        <a:ln w="19050">
                          <a:solidFill>
                            <a:srgbClr val="66FF33"/>
                          </a:solidFill>
                          <a:round/>
                          <a:headEnd/>
                          <a:tailEnd type="triangle" w="med" len="med"/>
                        </a:ln>
                      </a:spPr>
                      <a:txSp>
                        <a:txBody>
                          <a:bodyPr>
                            <a:prstTxWarp prst="textNoShape">
                              <a:avLst/>
                            </a:prstTxWarp>
                          </a:bodyPr>
                          <a:lstStyle>
                            <a:defPPr>
                              <a:defRPr lang="en-US"/>
                            </a:defPPr>
                            <a:lvl1pPr algn="l" rtl="0" eaLnBrk="0" fontAlgn="base" hangingPunct="0">
                              <a:spcBef>
                                <a:spcPct val="0"/>
                              </a:spcBef>
                              <a:spcAft>
                                <a:spcPct val="0"/>
                              </a:spcAft>
                              <a:defRPr kern="1200">
                                <a:solidFill>
                                  <a:schemeClr val="tx1"/>
                                </a:solidFill>
                                <a:latin typeface="Arial" pitchFamily="-65" charset="0"/>
                                <a:ea typeface="+mn-ea"/>
                                <a:cs typeface="+mn-cs"/>
                              </a:defRPr>
                            </a:lvl1pPr>
                            <a:lvl2pPr marL="457200" algn="l" rtl="0" eaLnBrk="0" fontAlgn="base" hangingPunct="0">
                              <a:spcBef>
                                <a:spcPct val="0"/>
                              </a:spcBef>
                              <a:spcAft>
                                <a:spcPct val="0"/>
                              </a:spcAft>
                              <a:defRPr kern="1200">
                                <a:solidFill>
                                  <a:schemeClr val="tx1"/>
                                </a:solidFill>
                                <a:latin typeface="Arial" pitchFamily="-65" charset="0"/>
                                <a:ea typeface="+mn-ea"/>
                                <a:cs typeface="+mn-cs"/>
                              </a:defRPr>
                            </a:lvl2pPr>
                            <a:lvl3pPr marL="914400" algn="l" rtl="0" eaLnBrk="0" fontAlgn="base" hangingPunct="0">
                              <a:spcBef>
                                <a:spcPct val="0"/>
                              </a:spcBef>
                              <a:spcAft>
                                <a:spcPct val="0"/>
                              </a:spcAft>
                              <a:defRPr kern="1200">
                                <a:solidFill>
                                  <a:schemeClr val="tx1"/>
                                </a:solidFill>
                                <a:latin typeface="Arial" pitchFamily="-65" charset="0"/>
                                <a:ea typeface="+mn-ea"/>
                                <a:cs typeface="+mn-cs"/>
                              </a:defRPr>
                            </a:lvl3pPr>
                            <a:lvl4pPr marL="1371600" algn="l" rtl="0" eaLnBrk="0" fontAlgn="base" hangingPunct="0">
                              <a:spcBef>
                                <a:spcPct val="0"/>
                              </a:spcBef>
                              <a:spcAft>
                                <a:spcPct val="0"/>
                              </a:spcAft>
                              <a:defRPr kern="1200">
                                <a:solidFill>
                                  <a:schemeClr val="tx1"/>
                                </a:solidFill>
                                <a:latin typeface="Arial" pitchFamily="-65" charset="0"/>
                                <a:ea typeface="+mn-ea"/>
                                <a:cs typeface="+mn-cs"/>
                              </a:defRPr>
                            </a:lvl4pPr>
                            <a:lvl5pPr marL="1828800" algn="l" rtl="0" eaLnBrk="0" fontAlgn="base" hangingPunct="0">
                              <a:spcBef>
                                <a:spcPct val="0"/>
                              </a:spcBef>
                              <a:spcAft>
                                <a:spcPct val="0"/>
                              </a:spcAft>
                              <a:defRPr kern="1200">
                                <a:solidFill>
                                  <a:schemeClr val="tx1"/>
                                </a:solidFill>
                                <a:latin typeface="Arial" pitchFamily="-65" charset="0"/>
                                <a:ea typeface="+mn-ea"/>
                                <a:cs typeface="+mn-cs"/>
                              </a:defRPr>
                            </a:lvl5pPr>
                            <a:lvl6pPr marL="2286000" algn="l" defTabSz="457200" rtl="0" eaLnBrk="1" latinLnBrk="0" hangingPunct="1">
                              <a:defRPr kern="1200">
                                <a:solidFill>
                                  <a:schemeClr val="tx1"/>
                                </a:solidFill>
                                <a:latin typeface="Arial" pitchFamily="-65" charset="0"/>
                                <a:ea typeface="+mn-ea"/>
                                <a:cs typeface="+mn-cs"/>
                              </a:defRPr>
                            </a:lvl6pPr>
                            <a:lvl7pPr marL="2743200" algn="l" defTabSz="457200" rtl="0" eaLnBrk="1" latinLnBrk="0" hangingPunct="1">
                              <a:defRPr kern="1200">
                                <a:solidFill>
                                  <a:schemeClr val="tx1"/>
                                </a:solidFill>
                                <a:latin typeface="Arial" pitchFamily="-65" charset="0"/>
                                <a:ea typeface="+mn-ea"/>
                                <a:cs typeface="+mn-cs"/>
                              </a:defRPr>
                            </a:lvl7pPr>
                            <a:lvl8pPr marL="3200400" algn="l" defTabSz="457200" rtl="0" eaLnBrk="1" latinLnBrk="0" hangingPunct="1">
                              <a:defRPr kern="1200">
                                <a:solidFill>
                                  <a:schemeClr val="tx1"/>
                                </a:solidFill>
                                <a:latin typeface="Arial" pitchFamily="-65" charset="0"/>
                                <a:ea typeface="+mn-ea"/>
                                <a:cs typeface="+mn-cs"/>
                              </a:defRPr>
                            </a:lvl8pPr>
                            <a:lvl9pPr marL="3657600" algn="l" defTabSz="457200" rtl="0" eaLnBrk="1" latinLnBrk="0" hangingPunct="1">
                              <a:defRPr kern="1200">
                                <a:solidFill>
                                  <a:schemeClr val="tx1"/>
                                </a:solidFill>
                                <a:latin typeface="Arial" pitchFamily="-65" charset="0"/>
                                <a:ea typeface="+mn-ea"/>
                                <a:cs typeface="+mn-cs"/>
                              </a:defRPr>
                            </a:lvl9pPr>
                          </a:lstStyle>
                          <a:p>
                            <a:endParaRPr lang="en-US"/>
                          </a:p>
                        </a:txBody>
                        <a:useSpRect/>
                      </a:txSp>
                    </a:sp>
                    <a:sp>
                      <a:nvSpPr>
                        <a:cNvPr id="17417" name="Text Box 10"/>
                        <a:cNvSpPr txBox="1">
                          <a:spLocks noChangeArrowheads="1"/>
                        </a:cNvSpPr>
                      </a:nvSpPr>
                      <a:spPr bwMode="auto">
                        <a:xfrm>
                          <a:off x="533400" y="152400"/>
                          <a:ext cx="2682875" cy="730250"/>
                        </a:xfrm>
                        <a:prstGeom prst="rect">
                          <a:avLst/>
                        </a:prstGeom>
                        <a:noFill/>
                        <a:ln w="9525">
                          <a:noFill/>
                          <a:miter lim="800000"/>
                          <a:headEnd/>
                          <a:tailEnd/>
                        </a:ln>
                      </a:spPr>
                      <a:txSp>
                        <a:txBody>
                          <a:bodyPr>
                            <a:prstTxWarp prst="textNoShape">
                              <a:avLst/>
                            </a:prstTxWarp>
                            <a:spAutoFit/>
                          </a:bodyPr>
                          <a:lstStyle>
                            <a:defPPr>
                              <a:defRPr lang="en-US"/>
                            </a:defPPr>
                            <a:lvl1pPr algn="l" rtl="0" eaLnBrk="0" fontAlgn="base" hangingPunct="0">
                              <a:spcBef>
                                <a:spcPct val="0"/>
                              </a:spcBef>
                              <a:spcAft>
                                <a:spcPct val="0"/>
                              </a:spcAft>
                              <a:defRPr kern="1200">
                                <a:solidFill>
                                  <a:schemeClr val="tx1"/>
                                </a:solidFill>
                                <a:latin typeface="Arial" pitchFamily="-65" charset="0"/>
                                <a:ea typeface="+mn-ea"/>
                                <a:cs typeface="+mn-cs"/>
                              </a:defRPr>
                            </a:lvl1pPr>
                            <a:lvl2pPr marL="457200" algn="l" rtl="0" eaLnBrk="0" fontAlgn="base" hangingPunct="0">
                              <a:spcBef>
                                <a:spcPct val="0"/>
                              </a:spcBef>
                              <a:spcAft>
                                <a:spcPct val="0"/>
                              </a:spcAft>
                              <a:defRPr kern="1200">
                                <a:solidFill>
                                  <a:schemeClr val="tx1"/>
                                </a:solidFill>
                                <a:latin typeface="Arial" pitchFamily="-65" charset="0"/>
                                <a:ea typeface="+mn-ea"/>
                                <a:cs typeface="+mn-cs"/>
                              </a:defRPr>
                            </a:lvl2pPr>
                            <a:lvl3pPr marL="914400" algn="l" rtl="0" eaLnBrk="0" fontAlgn="base" hangingPunct="0">
                              <a:spcBef>
                                <a:spcPct val="0"/>
                              </a:spcBef>
                              <a:spcAft>
                                <a:spcPct val="0"/>
                              </a:spcAft>
                              <a:defRPr kern="1200">
                                <a:solidFill>
                                  <a:schemeClr val="tx1"/>
                                </a:solidFill>
                                <a:latin typeface="Arial" pitchFamily="-65" charset="0"/>
                                <a:ea typeface="+mn-ea"/>
                                <a:cs typeface="+mn-cs"/>
                              </a:defRPr>
                            </a:lvl3pPr>
                            <a:lvl4pPr marL="1371600" algn="l" rtl="0" eaLnBrk="0" fontAlgn="base" hangingPunct="0">
                              <a:spcBef>
                                <a:spcPct val="0"/>
                              </a:spcBef>
                              <a:spcAft>
                                <a:spcPct val="0"/>
                              </a:spcAft>
                              <a:defRPr kern="1200">
                                <a:solidFill>
                                  <a:schemeClr val="tx1"/>
                                </a:solidFill>
                                <a:latin typeface="Arial" pitchFamily="-65" charset="0"/>
                                <a:ea typeface="+mn-ea"/>
                                <a:cs typeface="+mn-cs"/>
                              </a:defRPr>
                            </a:lvl4pPr>
                            <a:lvl5pPr marL="1828800" algn="l" rtl="0" eaLnBrk="0" fontAlgn="base" hangingPunct="0">
                              <a:spcBef>
                                <a:spcPct val="0"/>
                              </a:spcBef>
                              <a:spcAft>
                                <a:spcPct val="0"/>
                              </a:spcAft>
                              <a:defRPr kern="1200">
                                <a:solidFill>
                                  <a:schemeClr val="tx1"/>
                                </a:solidFill>
                                <a:latin typeface="Arial" pitchFamily="-65" charset="0"/>
                                <a:ea typeface="+mn-ea"/>
                                <a:cs typeface="+mn-cs"/>
                              </a:defRPr>
                            </a:lvl5pPr>
                            <a:lvl6pPr marL="2286000" algn="l" defTabSz="457200" rtl="0" eaLnBrk="1" latinLnBrk="0" hangingPunct="1">
                              <a:defRPr kern="1200">
                                <a:solidFill>
                                  <a:schemeClr val="tx1"/>
                                </a:solidFill>
                                <a:latin typeface="Arial" pitchFamily="-65" charset="0"/>
                                <a:ea typeface="+mn-ea"/>
                                <a:cs typeface="+mn-cs"/>
                              </a:defRPr>
                            </a:lvl6pPr>
                            <a:lvl7pPr marL="2743200" algn="l" defTabSz="457200" rtl="0" eaLnBrk="1" latinLnBrk="0" hangingPunct="1">
                              <a:defRPr kern="1200">
                                <a:solidFill>
                                  <a:schemeClr val="tx1"/>
                                </a:solidFill>
                                <a:latin typeface="Arial" pitchFamily="-65" charset="0"/>
                                <a:ea typeface="+mn-ea"/>
                                <a:cs typeface="+mn-cs"/>
                              </a:defRPr>
                            </a:lvl7pPr>
                            <a:lvl8pPr marL="3200400" algn="l" defTabSz="457200" rtl="0" eaLnBrk="1" latinLnBrk="0" hangingPunct="1">
                              <a:defRPr kern="1200">
                                <a:solidFill>
                                  <a:schemeClr val="tx1"/>
                                </a:solidFill>
                                <a:latin typeface="Arial" pitchFamily="-65" charset="0"/>
                                <a:ea typeface="+mn-ea"/>
                                <a:cs typeface="+mn-cs"/>
                              </a:defRPr>
                            </a:lvl8pPr>
                            <a:lvl9pPr marL="3657600" algn="l" defTabSz="457200" rtl="0" eaLnBrk="1" latinLnBrk="0" hangingPunct="1">
                              <a:defRPr kern="1200">
                                <a:solidFill>
                                  <a:schemeClr val="tx1"/>
                                </a:solidFill>
                                <a:latin typeface="Arial" pitchFamily="-65" charset="0"/>
                                <a:ea typeface="+mn-ea"/>
                                <a:cs typeface="+mn-cs"/>
                              </a:defRPr>
                            </a:lvl9pPr>
                          </a:lstStyle>
                          <a:p>
                            <a:r>
                              <a:rPr lang="en-US" sz="1400" dirty="0"/>
                              <a:t>Overshoot for horizontally </a:t>
                            </a:r>
                            <a:r>
                              <a:rPr lang="en-US" sz="1400" dirty="0" err="1"/>
                              <a:t>pointlike</a:t>
                            </a:r>
                            <a:r>
                              <a:rPr lang="en-US" sz="1400" dirty="0"/>
                              <a:t> source (charge bleeding)</a:t>
                            </a:r>
                          </a:p>
                        </a:txBody>
                        <a:useSpRect/>
                      </a:txSp>
                    </a:sp>
                    <a:sp>
                      <a:nvSpPr>
                        <a:cNvPr id="17418" name="Line 12"/>
                        <a:cNvSpPr>
                          <a:spLocks noChangeShapeType="1"/>
                        </a:cNvSpPr>
                      </a:nvSpPr>
                      <a:spPr bwMode="auto">
                        <a:xfrm>
                          <a:off x="2133600" y="762000"/>
                          <a:ext cx="0" cy="2438400"/>
                        </a:xfrm>
                        <a:prstGeom prst="line">
                          <a:avLst/>
                        </a:prstGeom>
                        <a:noFill/>
                        <a:ln w="19050">
                          <a:solidFill>
                            <a:srgbClr val="66FF33"/>
                          </a:solidFill>
                          <a:round/>
                          <a:headEnd/>
                          <a:tailEnd type="triangle" w="med" len="med"/>
                        </a:ln>
                      </a:spPr>
                      <a:txSp>
                        <a:txBody>
                          <a:bodyPr>
                            <a:prstTxWarp prst="textNoShape">
                              <a:avLst/>
                            </a:prstTxWarp>
                          </a:bodyPr>
                          <a:lstStyle>
                            <a:defPPr>
                              <a:defRPr lang="en-US"/>
                            </a:defPPr>
                            <a:lvl1pPr algn="l" rtl="0" eaLnBrk="0" fontAlgn="base" hangingPunct="0">
                              <a:spcBef>
                                <a:spcPct val="0"/>
                              </a:spcBef>
                              <a:spcAft>
                                <a:spcPct val="0"/>
                              </a:spcAft>
                              <a:defRPr kern="1200">
                                <a:solidFill>
                                  <a:schemeClr val="tx1"/>
                                </a:solidFill>
                                <a:latin typeface="Arial" pitchFamily="-65" charset="0"/>
                                <a:ea typeface="+mn-ea"/>
                                <a:cs typeface="+mn-cs"/>
                              </a:defRPr>
                            </a:lvl1pPr>
                            <a:lvl2pPr marL="457200" algn="l" rtl="0" eaLnBrk="0" fontAlgn="base" hangingPunct="0">
                              <a:spcBef>
                                <a:spcPct val="0"/>
                              </a:spcBef>
                              <a:spcAft>
                                <a:spcPct val="0"/>
                              </a:spcAft>
                              <a:defRPr kern="1200">
                                <a:solidFill>
                                  <a:schemeClr val="tx1"/>
                                </a:solidFill>
                                <a:latin typeface="Arial" pitchFamily="-65" charset="0"/>
                                <a:ea typeface="+mn-ea"/>
                                <a:cs typeface="+mn-cs"/>
                              </a:defRPr>
                            </a:lvl2pPr>
                            <a:lvl3pPr marL="914400" algn="l" rtl="0" eaLnBrk="0" fontAlgn="base" hangingPunct="0">
                              <a:spcBef>
                                <a:spcPct val="0"/>
                              </a:spcBef>
                              <a:spcAft>
                                <a:spcPct val="0"/>
                              </a:spcAft>
                              <a:defRPr kern="1200">
                                <a:solidFill>
                                  <a:schemeClr val="tx1"/>
                                </a:solidFill>
                                <a:latin typeface="Arial" pitchFamily="-65" charset="0"/>
                                <a:ea typeface="+mn-ea"/>
                                <a:cs typeface="+mn-cs"/>
                              </a:defRPr>
                            </a:lvl3pPr>
                            <a:lvl4pPr marL="1371600" algn="l" rtl="0" eaLnBrk="0" fontAlgn="base" hangingPunct="0">
                              <a:spcBef>
                                <a:spcPct val="0"/>
                              </a:spcBef>
                              <a:spcAft>
                                <a:spcPct val="0"/>
                              </a:spcAft>
                              <a:defRPr kern="1200">
                                <a:solidFill>
                                  <a:schemeClr val="tx1"/>
                                </a:solidFill>
                                <a:latin typeface="Arial" pitchFamily="-65" charset="0"/>
                                <a:ea typeface="+mn-ea"/>
                                <a:cs typeface="+mn-cs"/>
                              </a:defRPr>
                            </a:lvl4pPr>
                            <a:lvl5pPr marL="1828800" algn="l" rtl="0" eaLnBrk="0" fontAlgn="base" hangingPunct="0">
                              <a:spcBef>
                                <a:spcPct val="0"/>
                              </a:spcBef>
                              <a:spcAft>
                                <a:spcPct val="0"/>
                              </a:spcAft>
                              <a:defRPr kern="1200">
                                <a:solidFill>
                                  <a:schemeClr val="tx1"/>
                                </a:solidFill>
                                <a:latin typeface="Arial" pitchFamily="-65" charset="0"/>
                                <a:ea typeface="+mn-ea"/>
                                <a:cs typeface="+mn-cs"/>
                              </a:defRPr>
                            </a:lvl5pPr>
                            <a:lvl6pPr marL="2286000" algn="l" defTabSz="457200" rtl="0" eaLnBrk="1" latinLnBrk="0" hangingPunct="1">
                              <a:defRPr kern="1200">
                                <a:solidFill>
                                  <a:schemeClr val="tx1"/>
                                </a:solidFill>
                                <a:latin typeface="Arial" pitchFamily="-65" charset="0"/>
                                <a:ea typeface="+mn-ea"/>
                                <a:cs typeface="+mn-cs"/>
                              </a:defRPr>
                            </a:lvl6pPr>
                            <a:lvl7pPr marL="2743200" algn="l" defTabSz="457200" rtl="0" eaLnBrk="1" latinLnBrk="0" hangingPunct="1">
                              <a:defRPr kern="1200">
                                <a:solidFill>
                                  <a:schemeClr val="tx1"/>
                                </a:solidFill>
                                <a:latin typeface="Arial" pitchFamily="-65" charset="0"/>
                                <a:ea typeface="+mn-ea"/>
                                <a:cs typeface="+mn-cs"/>
                              </a:defRPr>
                            </a:lvl7pPr>
                            <a:lvl8pPr marL="3200400" algn="l" defTabSz="457200" rtl="0" eaLnBrk="1" latinLnBrk="0" hangingPunct="1">
                              <a:defRPr kern="1200">
                                <a:solidFill>
                                  <a:schemeClr val="tx1"/>
                                </a:solidFill>
                                <a:latin typeface="Arial" pitchFamily="-65" charset="0"/>
                                <a:ea typeface="+mn-ea"/>
                                <a:cs typeface="+mn-cs"/>
                              </a:defRPr>
                            </a:lvl8pPr>
                            <a:lvl9pPr marL="3657600" algn="l" defTabSz="457200" rtl="0" eaLnBrk="1" latinLnBrk="0" hangingPunct="1">
                              <a:defRPr kern="1200">
                                <a:solidFill>
                                  <a:schemeClr val="tx1"/>
                                </a:solidFill>
                                <a:latin typeface="Arial" pitchFamily="-65" charset="0"/>
                                <a:ea typeface="+mn-ea"/>
                                <a:cs typeface="+mn-cs"/>
                              </a:defRPr>
                            </a:lvl9pPr>
                          </a:lstStyle>
                          <a:p>
                            <a:endParaRPr lang="en-US"/>
                          </a:p>
                        </a:txBody>
                        <a:useSpRect/>
                      </a:txSp>
                    </a:sp>
                  </a:grpSp>
                </lc:lockedCanvas>
              </a:graphicData>
            </a:graphic>
          </wp:inline>
        </w:drawing>
      </w:r>
    </w:p>
    <w:p w:rsidR="00404448" w:rsidRPr="00C97AD1" w:rsidRDefault="00404448" w:rsidP="00404448">
      <w:pPr>
        <w:pStyle w:val="Caption"/>
      </w:pPr>
      <w:bookmarkStart w:id="51" w:name="_Ref109060002"/>
      <w:bookmarkStart w:id="52" w:name="_Toc322942239"/>
      <w:r>
        <w:t xml:space="preserve">Figure </w:t>
      </w:r>
      <w:fldSimple w:instr=" SEQ Figure \* ARABIC ">
        <w:r w:rsidR="000D2EB4">
          <w:rPr>
            <w:noProof/>
          </w:rPr>
          <w:t>9</w:t>
        </w:r>
      </w:fldSimple>
      <w:bookmarkEnd w:id="51"/>
      <w:r>
        <w:t xml:space="preserve">: Same images as </w:t>
      </w:r>
      <w:r w:rsidR="004C78B9">
        <w:fldChar w:fldCharType="begin"/>
      </w:r>
      <w:r w:rsidR="00C903B6">
        <w:instrText xml:space="preserve"> REF _Ref109059684 \h </w:instrText>
      </w:r>
      <w:r w:rsidR="004C78B9">
        <w:fldChar w:fldCharType="separate"/>
      </w:r>
      <w:r w:rsidR="000D2EB4">
        <w:t xml:space="preserve">Figure </w:t>
      </w:r>
      <w:r w:rsidR="000D2EB4">
        <w:rPr>
          <w:noProof/>
        </w:rPr>
        <w:t>8</w:t>
      </w:r>
      <w:r w:rsidR="004C78B9">
        <w:fldChar w:fldCharType="end"/>
      </w:r>
      <w:r w:rsidRPr="00C97AD1">
        <w:t>, but scaled linearly over a much smaller range of DN to bring out virtual pixels and low-</w:t>
      </w:r>
      <w:r>
        <w:t>level image artifacts (</w:t>
      </w:r>
      <w:r w:rsidR="00E607E6">
        <w:t>§</w:t>
      </w:r>
      <w:r w:rsidR="004C78B9">
        <w:fldChar w:fldCharType="begin"/>
      </w:r>
      <w:r w:rsidR="00C903B6">
        <w:instrText xml:space="preserve"> REF _Ref109059936 \r \h </w:instrText>
      </w:r>
      <w:r w:rsidR="004C78B9">
        <w:fldChar w:fldCharType="separate"/>
      </w:r>
      <w:r w:rsidR="000D2EB4">
        <w:t>6</w:t>
      </w:r>
      <w:r w:rsidR="004C78B9">
        <w:fldChar w:fldCharType="end"/>
      </w:r>
      <w:r w:rsidRPr="00C97AD1">
        <w:t>).  Right:  virtual pixels, on the border of the image, are scaled to black in this image.  Left:  The vertical black band, to the right of full scale pixels from saturated source charge bleeding, is the manifestation of undershoot (</w:t>
      </w:r>
      <w:r w:rsidR="00E607E6">
        <w:t>§</w:t>
      </w:r>
      <w:r w:rsidR="004C78B9">
        <w:fldChar w:fldCharType="begin"/>
      </w:r>
      <w:r w:rsidR="00C903B6">
        <w:instrText xml:space="preserve"> REF _Ref109059970 \r \h </w:instrText>
      </w:r>
      <w:r w:rsidR="004C78B9">
        <w:fldChar w:fldCharType="separate"/>
      </w:r>
      <w:r w:rsidR="000D2EB4">
        <w:t>6.6</w:t>
      </w:r>
      <w:r w:rsidR="004C78B9">
        <w:fldChar w:fldCharType="end"/>
      </w:r>
      <w:r w:rsidRPr="00C97AD1">
        <w:t>) for bright point sources.</w:t>
      </w:r>
      <w:bookmarkEnd w:id="52"/>
    </w:p>
    <w:p w:rsidR="00404448" w:rsidRPr="00394F88" w:rsidRDefault="00404448" w:rsidP="00404448">
      <w:pPr>
        <w:pStyle w:val="Heading2"/>
        <w:rPr>
          <w:sz w:val="22"/>
        </w:rPr>
      </w:pPr>
      <w:bookmarkStart w:id="53" w:name="_Toc322942157"/>
      <w:r w:rsidRPr="00394F88">
        <w:rPr>
          <w:sz w:val="22"/>
        </w:rPr>
        <w:t>Ground Test Data Relevant to Flight Calibration</w:t>
      </w:r>
      <w:bookmarkEnd w:id="53"/>
    </w:p>
    <w:p w:rsidR="00404448" w:rsidRDefault="00404448" w:rsidP="00404448">
      <w:r>
        <w:t xml:space="preserve">Ground-based tests supply calibration and performance data which are not available on-orbit, either because of the lack of a shutter, the presence of cosmic rays, the lack of a uniform illumination calibration source, or the cost in science data not taken.   </w:t>
      </w:r>
      <w:r w:rsidR="004C78B9">
        <w:fldChar w:fldCharType="begin"/>
      </w:r>
      <w:r w:rsidR="00C903B6">
        <w:instrText xml:space="preserve"> REF _Ref108158689 \h </w:instrText>
      </w:r>
      <w:r w:rsidR="004C78B9">
        <w:fldChar w:fldCharType="separate"/>
      </w:r>
      <w:r w:rsidR="000D2EB4">
        <w:t xml:space="preserve">Table </w:t>
      </w:r>
      <w:r w:rsidR="000D2EB4">
        <w:rPr>
          <w:noProof/>
        </w:rPr>
        <w:t>2</w:t>
      </w:r>
      <w:r w:rsidR="004C78B9">
        <w:fldChar w:fldCharType="end"/>
      </w:r>
      <w:r>
        <w:t xml:space="preserve"> shows the most important of these tests.  Each test has an alphanumeric BATC test ID used to unambiguously identify the test, since test descriptions and labels can vary over time as the test concept is developed.</w:t>
      </w:r>
    </w:p>
    <w:p w:rsidR="00404448" w:rsidRDefault="00404448" w:rsidP="00404448">
      <w:r>
        <w:br w:type="page"/>
      </w:r>
    </w:p>
    <w:p w:rsidR="00404448" w:rsidRDefault="00404448" w:rsidP="00404448">
      <w:pPr>
        <w:pStyle w:val="Caption"/>
        <w:keepNext/>
        <w:outlineLvl w:val="0"/>
      </w:pPr>
      <w:bookmarkStart w:id="54" w:name="_Ref108158689"/>
      <w:bookmarkStart w:id="55" w:name="_Toc322942281"/>
      <w:r>
        <w:t xml:space="preserve">Table </w:t>
      </w:r>
      <w:fldSimple w:instr=" SEQ Table \* ARABIC ">
        <w:r w:rsidR="000D2EB4">
          <w:rPr>
            <w:noProof/>
          </w:rPr>
          <w:t>2</w:t>
        </w:r>
      </w:fldSimple>
      <w:bookmarkEnd w:id="54"/>
      <w:r>
        <w:t>:  Ground Tests Supplying Calibration and Characterization Data for Use on Science Data</w:t>
      </w:r>
      <w:bookmarkEnd w:id="55"/>
    </w:p>
    <w:tbl>
      <w:tblPr>
        <w:tblW w:w="9900" w:type="dxa"/>
        <w:tblInd w:w="108" w:type="dxa"/>
        <w:tblLook w:val="0000"/>
      </w:tblPr>
      <w:tblGrid>
        <w:gridCol w:w="2250"/>
        <w:gridCol w:w="939"/>
        <w:gridCol w:w="2481"/>
        <w:gridCol w:w="1710"/>
        <w:gridCol w:w="2520"/>
      </w:tblGrid>
      <w:tr w:rsidR="00404448" w:rsidRPr="003D3190">
        <w:trPr>
          <w:trHeight w:val="240"/>
        </w:trPr>
        <w:tc>
          <w:tcPr>
            <w:tcW w:w="2250" w:type="dxa"/>
            <w:tcBorders>
              <w:top w:val="nil"/>
              <w:left w:val="nil"/>
              <w:bottom w:val="nil"/>
              <w:right w:val="nil"/>
            </w:tcBorders>
            <w:shd w:val="clear" w:color="auto" w:fill="auto"/>
            <w:vAlign w:val="bottom"/>
          </w:tcPr>
          <w:p w:rsidR="00404448" w:rsidRDefault="00404448" w:rsidP="00404448">
            <w:pPr>
              <w:spacing w:after="0"/>
            </w:pPr>
          </w:p>
        </w:tc>
        <w:tc>
          <w:tcPr>
            <w:tcW w:w="939" w:type="dxa"/>
            <w:tcBorders>
              <w:top w:val="nil"/>
              <w:left w:val="nil"/>
              <w:bottom w:val="nil"/>
              <w:right w:val="nil"/>
            </w:tcBorders>
            <w:shd w:val="clear" w:color="auto" w:fill="auto"/>
            <w:vAlign w:val="bottom"/>
          </w:tcPr>
          <w:p w:rsidR="00404448" w:rsidRDefault="00404448" w:rsidP="00404448">
            <w:pPr>
              <w:spacing w:after="0"/>
            </w:pPr>
            <w:r>
              <w:t>BATC</w:t>
            </w:r>
          </w:p>
        </w:tc>
        <w:tc>
          <w:tcPr>
            <w:tcW w:w="2481" w:type="dxa"/>
            <w:tcBorders>
              <w:top w:val="nil"/>
              <w:left w:val="nil"/>
              <w:bottom w:val="nil"/>
              <w:right w:val="nil"/>
            </w:tcBorders>
            <w:shd w:val="clear" w:color="auto" w:fill="auto"/>
            <w:vAlign w:val="bottom"/>
          </w:tcPr>
          <w:p w:rsidR="00404448" w:rsidRDefault="00404448" w:rsidP="00404448">
            <w:pPr>
              <w:spacing w:after="0"/>
            </w:pPr>
            <w:r>
              <w:t>BATC</w:t>
            </w:r>
          </w:p>
        </w:tc>
        <w:tc>
          <w:tcPr>
            <w:tcW w:w="1710" w:type="dxa"/>
            <w:tcBorders>
              <w:top w:val="nil"/>
              <w:left w:val="nil"/>
              <w:bottom w:val="nil"/>
              <w:right w:val="nil"/>
            </w:tcBorders>
            <w:shd w:val="clear" w:color="auto" w:fill="auto"/>
            <w:vAlign w:val="bottom"/>
          </w:tcPr>
          <w:p w:rsidR="00404448" w:rsidRDefault="00404448" w:rsidP="00404448">
            <w:pPr>
              <w:spacing w:after="0"/>
            </w:pPr>
          </w:p>
        </w:tc>
        <w:tc>
          <w:tcPr>
            <w:tcW w:w="2520" w:type="dxa"/>
            <w:tcBorders>
              <w:top w:val="nil"/>
              <w:left w:val="nil"/>
              <w:bottom w:val="nil"/>
              <w:right w:val="nil"/>
            </w:tcBorders>
            <w:shd w:val="clear" w:color="auto" w:fill="auto"/>
            <w:vAlign w:val="bottom"/>
          </w:tcPr>
          <w:p w:rsidR="00404448" w:rsidRDefault="00404448" w:rsidP="00404448">
            <w:pPr>
              <w:spacing w:after="0"/>
            </w:pPr>
          </w:p>
        </w:tc>
      </w:tr>
      <w:tr w:rsidR="00404448" w:rsidRPr="003D3190">
        <w:trPr>
          <w:trHeight w:val="300"/>
        </w:trPr>
        <w:tc>
          <w:tcPr>
            <w:tcW w:w="2250" w:type="dxa"/>
            <w:tcBorders>
              <w:top w:val="nil"/>
              <w:left w:val="nil"/>
              <w:bottom w:val="nil"/>
              <w:right w:val="nil"/>
            </w:tcBorders>
            <w:shd w:val="clear" w:color="auto" w:fill="auto"/>
            <w:vAlign w:val="bottom"/>
          </w:tcPr>
          <w:p w:rsidR="00404448" w:rsidRPr="003D3190" w:rsidRDefault="00404448" w:rsidP="00404448">
            <w:pPr>
              <w:spacing w:after="0"/>
            </w:pPr>
            <w:r w:rsidRPr="003D3190">
              <w:t>Test Description</w:t>
            </w:r>
          </w:p>
        </w:tc>
        <w:tc>
          <w:tcPr>
            <w:tcW w:w="939" w:type="dxa"/>
            <w:tcBorders>
              <w:top w:val="nil"/>
              <w:left w:val="nil"/>
              <w:bottom w:val="nil"/>
              <w:right w:val="nil"/>
            </w:tcBorders>
            <w:shd w:val="clear" w:color="auto" w:fill="auto"/>
            <w:vAlign w:val="bottom"/>
          </w:tcPr>
          <w:p w:rsidR="00404448" w:rsidRPr="003D3190" w:rsidRDefault="00404448" w:rsidP="00404448">
            <w:pPr>
              <w:spacing w:after="0"/>
            </w:pPr>
            <w:r w:rsidRPr="003D3190">
              <w:t>Test ID</w:t>
            </w:r>
          </w:p>
        </w:tc>
        <w:tc>
          <w:tcPr>
            <w:tcW w:w="2481" w:type="dxa"/>
            <w:tcBorders>
              <w:top w:val="nil"/>
              <w:left w:val="nil"/>
              <w:bottom w:val="nil"/>
              <w:right w:val="nil"/>
            </w:tcBorders>
            <w:shd w:val="clear" w:color="auto" w:fill="auto"/>
            <w:vAlign w:val="bottom"/>
          </w:tcPr>
          <w:p w:rsidR="00404448" w:rsidRPr="003D3190" w:rsidRDefault="00404448" w:rsidP="00404448">
            <w:pPr>
              <w:spacing w:after="0"/>
            </w:pPr>
            <w:r w:rsidRPr="003D3190">
              <w:t>report name</w:t>
            </w:r>
          </w:p>
        </w:tc>
        <w:tc>
          <w:tcPr>
            <w:tcW w:w="1710" w:type="dxa"/>
            <w:tcBorders>
              <w:top w:val="nil"/>
              <w:left w:val="nil"/>
              <w:bottom w:val="nil"/>
              <w:right w:val="nil"/>
            </w:tcBorders>
            <w:shd w:val="clear" w:color="auto" w:fill="auto"/>
            <w:vAlign w:val="bottom"/>
          </w:tcPr>
          <w:p w:rsidR="00404448" w:rsidRPr="003D3190" w:rsidRDefault="00404448" w:rsidP="00404448">
            <w:pPr>
              <w:spacing w:after="0"/>
            </w:pPr>
            <w:r w:rsidRPr="003D3190">
              <w:t xml:space="preserve">Short Label </w:t>
            </w:r>
          </w:p>
        </w:tc>
        <w:tc>
          <w:tcPr>
            <w:tcW w:w="2520" w:type="dxa"/>
            <w:tcBorders>
              <w:top w:val="nil"/>
              <w:left w:val="nil"/>
              <w:bottom w:val="nil"/>
              <w:right w:val="nil"/>
            </w:tcBorders>
            <w:shd w:val="clear" w:color="auto" w:fill="auto"/>
            <w:vAlign w:val="bottom"/>
          </w:tcPr>
          <w:p w:rsidR="00404448" w:rsidRPr="003D3190" w:rsidRDefault="00404448" w:rsidP="00404448">
            <w:pPr>
              <w:spacing w:after="0"/>
            </w:pPr>
            <w:r w:rsidRPr="003D3190">
              <w:t>Quantities Measured</w:t>
            </w:r>
          </w:p>
        </w:tc>
      </w:tr>
      <w:tr w:rsidR="00404448" w:rsidRPr="003D3190">
        <w:trPr>
          <w:trHeight w:val="720"/>
        </w:trPr>
        <w:tc>
          <w:tcPr>
            <w:tcW w:w="2250" w:type="dxa"/>
            <w:tcBorders>
              <w:top w:val="single" w:sz="4" w:space="0" w:color="auto"/>
              <w:left w:val="single" w:sz="4" w:space="0" w:color="auto"/>
              <w:bottom w:val="single" w:sz="4" w:space="0" w:color="auto"/>
              <w:right w:val="single" w:sz="4" w:space="0" w:color="auto"/>
            </w:tcBorders>
            <w:shd w:val="clear" w:color="auto" w:fill="auto"/>
            <w:vAlign w:val="bottom"/>
          </w:tcPr>
          <w:p w:rsidR="00404448" w:rsidRDefault="00404448" w:rsidP="00404448">
            <w:pPr>
              <w:spacing w:after="0"/>
            </w:pPr>
            <w:r>
              <w:t>Detector Array Assembly Performance and Characterization</w:t>
            </w:r>
          </w:p>
        </w:tc>
        <w:tc>
          <w:tcPr>
            <w:tcW w:w="939" w:type="dxa"/>
            <w:tcBorders>
              <w:top w:val="single" w:sz="4" w:space="0" w:color="auto"/>
              <w:left w:val="single" w:sz="4" w:space="0" w:color="auto"/>
              <w:bottom w:val="single" w:sz="4" w:space="0" w:color="auto"/>
              <w:right w:val="single" w:sz="4" w:space="0" w:color="auto"/>
            </w:tcBorders>
            <w:shd w:val="clear" w:color="auto" w:fill="auto"/>
            <w:vAlign w:val="bottom"/>
          </w:tcPr>
          <w:p w:rsidR="00404448" w:rsidRDefault="00404448" w:rsidP="00404448">
            <w:pPr>
              <w:spacing w:after="0"/>
            </w:pPr>
            <w:r>
              <w:t>PH0002</w:t>
            </w:r>
          </w:p>
        </w:tc>
        <w:tc>
          <w:tcPr>
            <w:tcW w:w="2481" w:type="dxa"/>
            <w:tcBorders>
              <w:top w:val="single" w:sz="4" w:space="0" w:color="auto"/>
              <w:left w:val="single" w:sz="4" w:space="0" w:color="auto"/>
              <w:bottom w:val="single" w:sz="4" w:space="0" w:color="auto"/>
              <w:right w:val="single" w:sz="4" w:space="0" w:color="auto"/>
            </w:tcBorders>
            <w:shd w:val="clear" w:color="auto" w:fill="auto"/>
            <w:vAlign w:val="bottom"/>
          </w:tcPr>
          <w:p w:rsidR="00404448" w:rsidRDefault="004A3FBE" w:rsidP="00404448">
            <w:pPr>
              <w:spacing w:after="0"/>
            </w:pPr>
            <w:r w:rsidRPr="004A3FBE">
              <w:rPr>
                <w:i/>
              </w:rPr>
              <w:t>KEPLER</w:t>
            </w:r>
            <w:r w:rsidR="00404448">
              <w:t>.SER.FPA.020A</w:t>
            </w:r>
          </w:p>
        </w:tc>
        <w:tc>
          <w:tcPr>
            <w:tcW w:w="1710" w:type="dxa"/>
            <w:tcBorders>
              <w:top w:val="single" w:sz="4" w:space="0" w:color="auto"/>
              <w:left w:val="single" w:sz="4" w:space="0" w:color="auto"/>
              <w:bottom w:val="single" w:sz="4" w:space="0" w:color="auto"/>
              <w:right w:val="single" w:sz="4" w:space="0" w:color="auto"/>
            </w:tcBorders>
            <w:shd w:val="clear" w:color="auto" w:fill="auto"/>
            <w:vAlign w:val="bottom"/>
          </w:tcPr>
          <w:p w:rsidR="00404448" w:rsidRDefault="00404448" w:rsidP="00404448">
            <w:pPr>
              <w:spacing w:after="0"/>
            </w:pPr>
            <w:r>
              <w:t>DAA Test</w:t>
            </w:r>
          </w:p>
        </w:tc>
        <w:tc>
          <w:tcPr>
            <w:tcW w:w="2520" w:type="dxa"/>
            <w:tcBorders>
              <w:top w:val="single" w:sz="4" w:space="0" w:color="auto"/>
              <w:left w:val="single" w:sz="4" w:space="0" w:color="auto"/>
              <w:bottom w:val="single" w:sz="4" w:space="0" w:color="auto"/>
              <w:right w:val="single" w:sz="4" w:space="0" w:color="auto"/>
            </w:tcBorders>
            <w:shd w:val="clear" w:color="auto" w:fill="auto"/>
            <w:vAlign w:val="bottom"/>
          </w:tcPr>
          <w:p w:rsidR="00404448" w:rsidRDefault="00404448" w:rsidP="00404448">
            <w:pPr>
              <w:spacing w:after="0"/>
            </w:pPr>
            <w:r>
              <w:t>gain, linearity, INL/DNL, PRNU, video crosstalk, dead/hot pixels, dependence of performance on LDE temperature</w:t>
            </w:r>
          </w:p>
        </w:tc>
      </w:tr>
      <w:tr w:rsidR="00404448" w:rsidRPr="003D3190">
        <w:trPr>
          <w:trHeight w:val="480"/>
        </w:trPr>
        <w:tc>
          <w:tcPr>
            <w:tcW w:w="2250" w:type="dxa"/>
            <w:tcBorders>
              <w:top w:val="single" w:sz="4" w:space="0" w:color="auto"/>
              <w:left w:val="single" w:sz="4" w:space="0" w:color="auto"/>
              <w:bottom w:val="single" w:sz="4" w:space="0" w:color="auto"/>
              <w:right w:val="single" w:sz="4" w:space="0" w:color="auto"/>
            </w:tcBorders>
            <w:shd w:val="clear" w:color="auto" w:fill="auto"/>
            <w:vAlign w:val="bottom"/>
          </w:tcPr>
          <w:p w:rsidR="00404448" w:rsidRDefault="00404448" w:rsidP="00404448">
            <w:pPr>
              <w:spacing w:after="0"/>
            </w:pPr>
            <w:r>
              <w:t>Photometer TVAC Alignment &amp; PSF Performance Test</w:t>
            </w:r>
          </w:p>
        </w:tc>
        <w:tc>
          <w:tcPr>
            <w:tcW w:w="939" w:type="dxa"/>
            <w:tcBorders>
              <w:top w:val="single" w:sz="4" w:space="0" w:color="auto"/>
              <w:left w:val="single" w:sz="4" w:space="0" w:color="auto"/>
              <w:bottom w:val="single" w:sz="4" w:space="0" w:color="auto"/>
              <w:right w:val="single" w:sz="4" w:space="0" w:color="auto"/>
            </w:tcBorders>
            <w:shd w:val="clear" w:color="auto" w:fill="auto"/>
            <w:vAlign w:val="bottom"/>
          </w:tcPr>
          <w:p w:rsidR="00404448" w:rsidRDefault="00404448" w:rsidP="00404448">
            <w:pPr>
              <w:spacing w:after="0"/>
            </w:pPr>
            <w:r>
              <w:t>PH0051</w:t>
            </w:r>
          </w:p>
        </w:tc>
        <w:tc>
          <w:tcPr>
            <w:tcW w:w="24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Default="004A3FBE" w:rsidP="00404448">
            <w:pPr>
              <w:spacing w:after="0"/>
            </w:pPr>
            <w:r w:rsidRPr="004A3FBE">
              <w:rPr>
                <w:i/>
              </w:rPr>
              <w:t>KEPLER</w:t>
            </w:r>
            <w:r w:rsidR="00404448">
              <w:t>.SER.I_T.029A</w:t>
            </w:r>
          </w:p>
        </w:tc>
        <w:tc>
          <w:tcPr>
            <w:tcW w:w="1710" w:type="dxa"/>
            <w:tcBorders>
              <w:top w:val="single" w:sz="4" w:space="0" w:color="auto"/>
              <w:left w:val="single" w:sz="4" w:space="0" w:color="auto"/>
              <w:bottom w:val="single" w:sz="4" w:space="0" w:color="auto"/>
              <w:right w:val="single" w:sz="4" w:space="0" w:color="auto"/>
            </w:tcBorders>
            <w:shd w:val="clear" w:color="auto" w:fill="auto"/>
            <w:vAlign w:val="bottom"/>
          </w:tcPr>
          <w:p w:rsidR="00404448" w:rsidRDefault="00404448" w:rsidP="00404448">
            <w:pPr>
              <w:spacing w:after="0"/>
            </w:pPr>
            <w:r>
              <w:t>Photometer Test</w:t>
            </w:r>
          </w:p>
        </w:tc>
        <w:tc>
          <w:tcPr>
            <w:tcW w:w="2520" w:type="dxa"/>
            <w:tcBorders>
              <w:top w:val="single" w:sz="4" w:space="0" w:color="auto"/>
              <w:left w:val="single" w:sz="4" w:space="0" w:color="auto"/>
              <w:bottom w:val="single" w:sz="4" w:space="0" w:color="auto"/>
              <w:right w:val="single" w:sz="4" w:space="0" w:color="auto"/>
            </w:tcBorders>
            <w:shd w:val="clear" w:color="auto" w:fill="auto"/>
            <w:vAlign w:val="bottom"/>
          </w:tcPr>
          <w:p w:rsidR="00404448" w:rsidRDefault="00404448" w:rsidP="00404448">
            <w:pPr>
              <w:spacing w:after="0"/>
            </w:pPr>
            <w:r>
              <w:t>optical model validation, pre-launch best focus, through-focus PSF</w:t>
            </w:r>
          </w:p>
        </w:tc>
      </w:tr>
      <w:tr w:rsidR="00404448" w:rsidRPr="003D3190">
        <w:trPr>
          <w:trHeight w:val="960"/>
        </w:trPr>
        <w:tc>
          <w:tcPr>
            <w:tcW w:w="2250" w:type="dxa"/>
            <w:tcBorders>
              <w:top w:val="single" w:sz="4" w:space="0" w:color="auto"/>
              <w:left w:val="single" w:sz="4" w:space="0" w:color="auto"/>
              <w:bottom w:val="single" w:sz="4" w:space="0" w:color="auto"/>
              <w:right w:val="single" w:sz="4" w:space="0" w:color="auto"/>
            </w:tcBorders>
            <w:shd w:val="clear" w:color="auto" w:fill="auto"/>
            <w:vAlign w:val="bottom"/>
          </w:tcPr>
          <w:p w:rsidR="00404448" w:rsidRDefault="00404448" w:rsidP="00404448">
            <w:pPr>
              <w:spacing w:after="0"/>
            </w:pPr>
            <w:r>
              <w:t>Flight System Thermal Vacuum Test</w:t>
            </w:r>
          </w:p>
        </w:tc>
        <w:tc>
          <w:tcPr>
            <w:tcW w:w="939" w:type="dxa"/>
            <w:tcBorders>
              <w:top w:val="single" w:sz="4" w:space="0" w:color="auto"/>
              <w:left w:val="single" w:sz="4" w:space="0" w:color="auto"/>
              <w:bottom w:val="single" w:sz="4" w:space="0" w:color="auto"/>
              <w:right w:val="single" w:sz="4" w:space="0" w:color="auto"/>
            </w:tcBorders>
            <w:shd w:val="clear" w:color="auto" w:fill="auto"/>
            <w:vAlign w:val="bottom"/>
          </w:tcPr>
          <w:p w:rsidR="00404448" w:rsidRDefault="00404448" w:rsidP="00404448">
            <w:pPr>
              <w:spacing w:after="0"/>
            </w:pPr>
            <w:r>
              <w:t>FS0019</w:t>
            </w:r>
          </w:p>
        </w:tc>
        <w:tc>
          <w:tcPr>
            <w:tcW w:w="2481"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Default="004A3FBE" w:rsidP="00404448">
            <w:pPr>
              <w:spacing w:after="0"/>
            </w:pPr>
            <w:r w:rsidRPr="004A3FBE">
              <w:rPr>
                <w:i/>
              </w:rPr>
              <w:t>KEPLER</w:t>
            </w:r>
            <w:r w:rsidR="00404448">
              <w:t>.SER.I_T.040A</w:t>
            </w:r>
          </w:p>
        </w:tc>
        <w:tc>
          <w:tcPr>
            <w:tcW w:w="1710" w:type="dxa"/>
            <w:tcBorders>
              <w:top w:val="single" w:sz="4" w:space="0" w:color="auto"/>
              <w:left w:val="single" w:sz="4" w:space="0" w:color="auto"/>
              <w:bottom w:val="single" w:sz="4" w:space="0" w:color="auto"/>
              <w:right w:val="single" w:sz="4" w:space="0" w:color="auto"/>
            </w:tcBorders>
            <w:shd w:val="clear" w:color="auto" w:fill="auto"/>
            <w:vAlign w:val="bottom"/>
          </w:tcPr>
          <w:p w:rsidR="00404448" w:rsidRDefault="00404448" w:rsidP="00404448">
            <w:pPr>
              <w:spacing w:after="0"/>
            </w:pPr>
            <w:r>
              <w:t>TVAC</w:t>
            </w:r>
          </w:p>
        </w:tc>
        <w:tc>
          <w:tcPr>
            <w:tcW w:w="2520" w:type="dxa"/>
            <w:tcBorders>
              <w:top w:val="single" w:sz="4" w:space="0" w:color="auto"/>
              <w:left w:val="single" w:sz="4" w:space="0" w:color="auto"/>
              <w:bottom w:val="single" w:sz="4" w:space="0" w:color="auto"/>
              <w:right w:val="single" w:sz="4" w:space="0" w:color="auto"/>
            </w:tcBorders>
            <w:shd w:val="clear" w:color="auto" w:fill="auto"/>
            <w:vAlign w:val="bottom"/>
          </w:tcPr>
          <w:p w:rsidR="00404448" w:rsidRDefault="00404448" w:rsidP="00404448">
            <w:pPr>
              <w:spacing w:after="0"/>
            </w:pPr>
            <w:r>
              <w:t xml:space="preserve">Long series of dark FFIs and LCs at temperatures spanning the operational range, for </w:t>
            </w:r>
            <w:r w:rsidR="002D095B">
              <w:t>moiré</w:t>
            </w:r>
            <w:r>
              <w:t xml:space="preserve"> and thermally-varying FGS crosstalk characterization</w:t>
            </w:r>
          </w:p>
        </w:tc>
      </w:tr>
    </w:tbl>
    <w:p w:rsidR="00404448" w:rsidRDefault="00404448" w:rsidP="00404448"/>
    <w:p w:rsidR="00404448" w:rsidRDefault="00404448" w:rsidP="00404448">
      <w:pPr>
        <w:pStyle w:val="Heading1"/>
      </w:pPr>
      <w:bookmarkStart w:id="56" w:name="_Toc322942158"/>
      <w:r>
        <w:t>Optics and Images</w:t>
      </w:r>
      <w:bookmarkEnd w:id="56"/>
    </w:p>
    <w:p w:rsidR="00404448" w:rsidRPr="00394F88" w:rsidRDefault="00404448" w:rsidP="00404448">
      <w:pPr>
        <w:pStyle w:val="Heading2"/>
        <w:rPr>
          <w:sz w:val="22"/>
        </w:rPr>
      </w:pPr>
      <w:bookmarkStart w:id="57" w:name="_Toc322942159"/>
      <w:r w:rsidRPr="00394F88">
        <w:rPr>
          <w:sz w:val="22"/>
        </w:rPr>
        <w:t>Telescope Design Summary</w:t>
      </w:r>
      <w:bookmarkEnd w:id="57"/>
    </w:p>
    <w:p w:rsidR="00404448" w:rsidRDefault="004A3FBE" w:rsidP="00404448">
      <w:r w:rsidRPr="004A3FBE">
        <w:rPr>
          <w:i/>
        </w:rPr>
        <w:t>Kepler</w:t>
      </w:r>
      <w:r w:rsidR="00404448">
        <w:t xml:space="preserve"> is a wide FOV Schmidt telescope with a circular entrance aperture of 950 mm diameter, a 1.4 m diameter primary mirror, and a 16.1° diameter field of view – a sky area equivalent to 5 Palomar Schmidt plates. The photometer wavelength range is 420-900 nm, as shown in detail in </w:t>
      </w:r>
      <w:r w:rsidR="00E607E6">
        <w:t>§</w:t>
      </w:r>
      <w:r w:rsidR="004C78B9">
        <w:fldChar w:fldCharType="begin"/>
      </w:r>
      <w:r w:rsidR="00C903B6">
        <w:instrText xml:space="preserve"> REF _Ref108603911 \r \h </w:instrText>
      </w:r>
      <w:r w:rsidR="004C78B9">
        <w:fldChar w:fldCharType="separate"/>
      </w:r>
      <w:r w:rsidR="000D2EB4">
        <w:t>3.3</w:t>
      </w:r>
      <w:r w:rsidR="004C78B9">
        <w:fldChar w:fldCharType="end"/>
      </w:r>
      <w:r w:rsidR="00404448">
        <w:t xml:space="preserve">.  The resulting f/# for the system is 1.473 on-axis with an effective focal length of 1399.20 mm.  The telescope illuminates forty-two 1044 x 2200 science CCDs and four 512 x 512 FGS CCDs made up of 27μm pixels and 13μm pixels respectively.  These flat CCDs are matched to the curved focal surface using field flattener lenses (FFLs) and the mechanical arrangement discussed in </w:t>
      </w:r>
      <w:r w:rsidR="00E607E6">
        <w:t>§</w:t>
      </w:r>
      <w:r w:rsidR="004C78B9">
        <w:fldChar w:fldCharType="begin"/>
      </w:r>
      <w:r w:rsidR="00C903B6">
        <w:instrText xml:space="preserve"> REF _Ref205714480 \r \h </w:instrText>
      </w:r>
      <w:r w:rsidR="004C78B9">
        <w:fldChar w:fldCharType="separate"/>
      </w:r>
      <w:r w:rsidR="000D2EB4">
        <w:t>4.2</w:t>
      </w:r>
      <w:r w:rsidR="004C78B9">
        <w:fldChar w:fldCharType="end"/>
      </w:r>
      <w:r w:rsidR="00404448">
        <w:t xml:space="preserve">.  The rotation, translation, and defocus of each as-built CCD with respect to the design value is given in </w:t>
      </w:r>
      <w:r w:rsidRPr="004A3FBE">
        <w:rPr>
          <w:i/>
        </w:rPr>
        <w:t>KEPLER</w:t>
      </w:r>
      <w:r w:rsidR="00404448" w:rsidRPr="00B4600C">
        <w:t>.SER.FPA.021</w:t>
      </w:r>
      <w:r w:rsidR="00404448">
        <w:t>.  There are 3 focusing mechanisms attached to the primary mirror.</w:t>
      </w:r>
    </w:p>
    <w:p w:rsidR="00404448" w:rsidRDefault="000518AB" w:rsidP="00404448">
      <w:pPr>
        <w:keepNext/>
      </w:pPr>
      <w:r>
        <w:rPr>
          <w:noProof/>
        </w:rPr>
        <w:drawing>
          <wp:inline distT="0" distB="0" distL="0" distR="0">
            <wp:extent cx="5932805" cy="3877310"/>
            <wp:effectExtent l="25400" t="0" r="1079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a:srcRect/>
                    <a:stretch>
                      <a:fillRect/>
                    </a:stretch>
                  </pic:blipFill>
                  <pic:spPr bwMode="auto">
                    <a:xfrm>
                      <a:off x="0" y="0"/>
                      <a:ext cx="5932805" cy="3877310"/>
                    </a:xfrm>
                    <a:prstGeom prst="rect">
                      <a:avLst/>
                    </a:prstGeom>
                    <a:noFill/>
                    <a:ln w="9525">
                      <a:noFill/>
                      <a:miter lim="800000"/>
                      <a:headEnd/>
                      <a:tailEnd/>
                    </a:ln>
                  </pic:spPr>
                </pic:pic>
              </a:graphicData>
            </a:graphic>
          </wp:inline>
        </w:drawing>
      </w:r>
    </w:p>
    <w:p w:rsidR="00404448" w:rsidRPr="00D81888" w:rsidRDefault="00404448" w:rsidP="00404448">
      <w:pPr>
        <w:pStyle w:val="Caption"/>
      </w:pPr>
      <w:bookmarkStart w:id="58" w:name="_Toc322942240"/>
      <w:r>
        <w:t xml:space="preserve">Figure </w:t>
      </w:r>
      <w:fldSimple w:instr=" SEQ Figure \* ARABIC ">
        <w:r w:rsidR="000D2EB4">
          <w:rPr>
            <w:noProof/>
          </w:rPr>
          <w:t>10</w:t>
        </w:r>
      </w:fldSimple>
      <w:r>
        <w:t xml:space="preserve">:  </w:t>
      </w:r>
      <w:r w:rsidR="004A3FBE" w:rsidRPr="004A3FBE">
        <w:rPr>
          <w:i/>
        </w:rPr>
        <w:t>Kepler</w:t>
      </w:r>
      <w:r>
        <w:t xml:space="preserve"> Optics nominal design, from </w:t>
      </w:r>
      <w:r w:rsidR="004A3FBE" w:rsidRPr="004A3FBE">
        <w:rPr>
          <w:i/>
        </w:rPr>
        <w:t>KEPLER</w:t>
      </w:r>
      <w:r w:rsidRPr="00D81888">
        <w:t>.DFM.PHT.003E</w:t>
      </w:r>
      <w:r>
        <w:t>.  RDY is the radius of curvature of the spherical component of each optic.  A and B are the quadratic and quartic components of the Schmidt figure.</w:t>
      </w:r>
      <w:bookmarkEnd w:id="58"/>
    </w:p>
    <w:p w:rsidR="00404448" w:rsidRDefault="00404448" w:rsidP="00404448">
      <w:pPr>
        <w:pStyle w:val="Caption"/>
        <w:keepNext/>
        <w:outlineLvl w:val="0"/>
      </w:pPr>
      <w:bookmarkStart w:id="59" w:name="_Ref205721556"/>
      <w:bookmarkStart w:id="60" w:name="_Toc322942282"/>
      <w:r>
        <w:t xml:space="preserve">Table </w:t>
      </w:r>
      <w:fldSimple w:instr=" SEQ Table \* ARABIC ">
        <w:r w:rsidR="000D2EB4">
          <w:rPr>
            <w:noProof/>
          </w:rPr>
          <w:t>3</w:t>
        </w:r>
      </w:fldSimple>
      <w:bookmarkEnd w:id="59"/>
      <w:r>
        <w:t xml:space="preserve">:  Predicted Optical Performance, from </w:t>
      </w:r>
      <w:r w:rsidR="004A3FBE" w:rsidRPr="004A3FBE">
        <w:rPr>
          <w:i/>
        </w:rPr>
        <w:t>KEPLER</w:t>
      </w:r>
      <w:r w:rsidRPr="00D81888">
        <w:t>.DFM.PHT.003E</w:t>
      </w:r>
      <w:r>
        <w:t>.</w:t>
      </w:r>
      <w:bookmarkEnd w:id="60"/>
      <w:r>
        <w:t xml:space="preserve"> </w:t>
      </w:r>
    </w:p>
    <w:tbl>
      <w:tblPr>
        <w:tblW w:w="7564" w:type="dxa"/>
        <w:tblCellSpacing w:w="0" w:type="dxa"/>
        <w:tblCellMar>
          <w:left w:w="0" w:type="dxa"/>
          <w:right w:w="0" w:type="dxa"/>
        </w:tblCellMar>
        <w:tblLook w:val="0000"/>
      </w:tblPr>
      <w:tblGrid>
        <w:gridCol w:w="4965"/>
        <w:gridCol w:w="2599"/>
      </w:tblGrid>
      <w:tr w:rsidR="00404448" w:rsidRPr="009314F8">
        <w:trPr>
          <w:trHeight w:val="502"/>
          <w:tblHeader/>
          <w:tblCellSpacing w:w="0" w:type="dxa"/>
        </w:trPr>
        <w:tc>
          <w:tcPr>
            <w:tcW w:w="4965" w:type="dxa"/>
            <w:tcBorders>
              <w:top w:val="single" w:sz="4" w:space="0" w:color="808080"/>
              <w:left w:val="single" w:sz="4" w:space="0" w:color="808080"/>
              <w:bottom w:val="single" w:sz="4" w:space="0" w:color="808080"/>
              <w:right w:val="single" w:sz="4" w:space="0" w:color="808080"/>
            </w:tcBorders>
          </w:tcPr>
          <w:p w:rsidR="00404448" w:rsidRPr="00552A9F" w:rsidRDefault="00404448" w:rsidP="00404448">
            <w:pPr>
              <w:rPr>
                <w:b/>
              </w:rPr>
            </w:pPr>
            <w:r w:rsidRPr="00552A9F">
              <w:rPr>
                <w:b/>
              </w:rPr>
              <w:t>Parameter</w:t>
            </w:r>
          </w:p>
        </w:tc>
        <w:tc>
          <w:tcPr>
            <w:tcW w:w="2599" w:type="dxa"/>
            <w:tcBorders>
              <w:top w:val="single" w:sz="4" w:space="0" w:color="808080"/>
              <w:left w:val="single" w:sz="4" w:space="0" w:color="808080"/>
              <w:bottom w:val="single" w:sz="4" w:space="0" w:color="808080"/>
              <w:right w:val="single" w:sz="4" w:space="0" w:color="808080"/>
            </w:tcBorders>
          </w:tcPr>
          <w:p w:rsidR="00404448" w:rsidRPr="00552A9F" w:rsidRDefault="00404448" w:rsidP="00404448">
            <w:pPr>
              <w:rPr>
                <w:b/>
              </w:rPr>
            </w:pPr>
            <w:r w:rsidRPr="00552A9F">
              <w:rPr>
                <w:b/>
              </w:rPr>
              <w:t>Predicted Performance</w:t>
            </w:r>
          </w:p>
        </w:tc>
      </w:tr>
      <w:tr w:rsidR="00404448" w:rsidRPr="009314F8">
        <w:trPr>
          <w:trHeight w:val="267"/>
          <w:tblCellSpacing w:w="0" w:type="dxa"/>
        </w:trPr>
        <w:tc>
          <w:tcPr>
            <w:tcW w:w="4965" w:type="dxa"/>
            <w:tcBorders>
              <w:top w:val="single" w:sz="4" w:space="0" w:color="808080"/>
              <w:left w:val="single" w:sz="4" w:space="0" w:color="808080"/>
              <w:bottom w:val="single" w:sz="4" w:space="0" w:color="808080"/>
              <w:right w:val="single" w:sz="4" w:space="0" w:color="808080"/>
            </w:tcBorders>
          </w:tcPr>
          <w:p w:rsidR="00404448" w:rsidRPr="009314F8" w:rsidRDefault="00404448" w:rsidP="00404448">
            <w:r w:rsidRPr="009314F8">
              <w:t>Entrance Aperture Diameter</w:t>
            </w:r>
          </w:p>
        </w:tc>
        <w:tc>
          <w:tcPr>
            <w:tcW w:w="2599" w:type="dxa"/>
            <w:tcBorders>
              <w:top w:val="single" w:sz="4" w:space="0" w:color="808080"/>
              <w:left w:val="single" w:sz="4" w:space="0" w:color="808080"/>
              <w:bottom w:val="single" w:sz="4" w:space="0" w:color="808080"/>
              <w:right w:val="single" w:sz="4" w:space="0" w:color="808080"/>
            </w:tcBorders>
          </w:tcPr>
          <w:p w:rsidR="00404448" w:rsidRPr="009314F8" w:rsidRDefault="00404448" w:rsidP="00404448">
            <w:r>
              <w:t>950</w:t>
            </w:r>
            <w:r w:rsidRPr="009314F8">
              <w:t xml:space="preserve"> </w:t>
            </w:r>
            <w:r>
              <w:t>m</w:t>
            </w:r>
            <w:r w:rsidRPr="009314F8">
              <w:t>m</w:t>
            </w:r>
          </w:p>
        </w:tc>
      </w:tr>
      <w:tr w:rsidR="00404448" w:rsidRPr="009314F8">
        <w:trPr>
          <w:trHeight w:val="440"/>
          <w:tblCellSpacing w:w="0" w:type="dxa"/>
        </w:trPr>
        <w:tc>
          <w:tcPr>
            <w:tcW w:w="4965" w:type="dxa"/>
            <w:tcBorders>
              <w:top w:val="single" w:sz="4" w:space="0" w:color="808080"/>
              <w:left w:val="single" w:sz="4" w:space="0" w:color="808080"/>
              <w:bottom w:val="single" w:sz="4" w:space="0" w:color="808080"/>
              <w:right w:val="single" w:sz="4" w:space="0" w:color="808080"/>
            </w:tcBorders>
          </w:tcPr>
          <w:p w:rsidR="00404448" w:rsidRPr="009314F8" w:rsidRDefault="00404448" w:rsidP="00404448">
            <w:r w:rsidRPr="009314F8">
              <w:t>IFOV</w:t>
            </w:r>
            <w:r>
              <w:t xml:space="preserve"> (Plate Scale)</w:t>
            </w:r>
          </w:p>
        </w:tc>
        <w:tc>
          <w:tcPr>
            <w:tcW w:w="2599" w:type="dxa"/>
            <w:tcBorders>
              <w:top w:val="single" w:sz="4" w:space="0" w:color="808080"/>
              <w:left w:val="single" w:sz="4" w:space="0" w:color="808080"/>
              <w:bottom w:val="single" w:sz="4" w:space="0" w:color="808080"/>
              <w:right w:val="single" w:sz="4" w:space="0" w:color="808080"/>
            </w:tcBorders>
          </w:tcPr>
          <w:p w:rsidR="00404448" w:rsidRPr="009314F8" w:rsidRDefault="00404448" w:rsidP="00404448">
            <w:r w:rsidRPr="009314F8">
              <w:t>3.98 arcsec/pixel</w:t>
            </w:r>
          </w:p>
        </w:tc>
      </w:tr>
      <w:tr w:rsidR="00404448" w:rsidRPr="009314F8">
        <w:trPr>
          <w:trHeight w:val="267"/>
          <w:tblCellSpacing w:w="0" w:type="dxa"/>
        </w:trPr>
        <w:tc>
          <w:tcPr>
            <w:tcW w:w="4965" w:type="dxa"/>
            <w:tcBorders>
              <w:top w:val="single" w:sz="4" w:space="0" w:color="808080"/>
              <w:left w:val="single" w:sz="4" w:space="0" w:color="808080"/>
              <w:bottom w:val="single" w:sz="4" w:space="0" w:color="808080"/>
              <w:right w:val="single" w:sz="4" w:space="0" w:color="808080"/>
            </w:tcBorders>
          </w:tcPr>
          <w:p w:rsidR="00404448" w:rsidRPr="009314F8" w:rsidRDefault="00404448" w:rsidP="00404448">
            <w:r w:rsidRPr="009314F8">
              <w:t>F/#</w:t>
            </w:r>
          </w:p>
        </w:tc>
        <w:tc>
          <w:tcPr>
            <w:tcW w:w="2599" w:type="dxa"/>
            <w:tcBorders>
              <w:top w:val="single" w:sz="4" w:space="0" w:color="808080"/>
              <w:left w:val="single" w:sz="4" w:space="0" w:color="808080"/>
              <w:bottom w:val="single" w:sz="4" w:space="0" w:color="808080"/>
              <w:right w:val="single" w:sz="4" w:space="0" w:color="808080"/>
            </w:tcBorders>
          </w:tcPr>
          <w:p w:rsidR="00404448" w:rsidRPr="009314F8" w:rsidRDefault="00404448" w:rsidP="00404448">
            <w:r w:rsidRPr="009314F8">
              <w:t>1.473</w:t>
            </w:r>
          </w:p>
        </w:tc>
      </w:tr>
      <w:tr w:rsidR="00404448" w:rsidRPr="009314F8">
        <w:trPr>
          <w:trHeight w:val="267"/>
          <w:tblCellSpacing w:w="0" w:type="dxa"/>
        </w:trPr>
        <w:tc>
          <w:tcPr>
            <w:tcW w:w="4965" w:type="dxa"/>
            <w:tcBorders>
              <w:top w:val="single" w:sz="4" w:space="0" w:color="808080"/>
              <w:left w:val="single" w:sz="4" w:space="0" w:color="808080"/>
              <w:bottom w:val="single" w:sz="4" w:space="0" w:color="808080"/>
              <w:right w:val="single" w:sz="4" w:space="0" w:color="808080"/>
            </w:tcBorders>
          </w:tcPr>
          <w:p w:rsidR="00404448" w:rsidRPr="009314F8" w:rsidRDefault="00404448" w:rsidP="00404448">
            <w:r w:rsidRPr="009314F8">
              <w:t>Performance Field of View Diameter</w:t>
            </w:r>
          </w:p>
        </w:tc>
        <w:tc>
          <w:tcPr>
            <w:tcW w:w="2599" w:type="dxa"/>
            <w:tcBorders>
              <w:top w:val="single" w:sz="4" w:space="0" w:color="808080"/>
              <w:left w:val="single" w:sz="4" w:space="0" w:color="808080"/>
              <w:bottom w:val="single" w:sz="4" w:space="0" w:color="808080"/>
              <w:right w:val="single" w:sz="4" w:space="0" w:color="808080"/>
            </w:tcBorders>
          </w:tcPr>
          <w:p w:rsidR="00404448" w:rsidRPr="009314F8" w:rsidRDefault="00404448" w:rsidP="00404448">
            <w:r>
              <w:t>16.1</w:t>
            </w:r>
            <w:r w:rsidRPr="009314F8">
              <w:t>°</w:t>
            </w:r>
          </w:p>
        </w:tc>
      </w:tr>
      <w:tr w:rsidR="00404448" w:rsidRPr="009314F8">
        <w:trPr>
          <w:trHeight w:val="471"/>
          <w:tblCellSpacing w:w="0" w:type="dxa"/>
        </w:trPr>
        <w:tc>
          <w:tcPr>
            <w:tcW w:w="4965" w:type="dxa"/>
            <w:tcBorders>
              <w:top w:val="single" w:sz="4" w:space="0" w:color="808080"/>
              <w:left w:val="single" w:sz="4" w:space="0" w:color="808080"/>
              <w:bottom w:val="single" w:sz="4" w:space="0" w:color="808080"/>
              <w:right w:val="single" w:sz="4" w:space="0" w:color="808080"/>
            </w:tcBorders>
          </w:tcPr>
          <w:p w:rsidR="00404448" w:rsidRPr="009314F8" w:rsidRDefault="00404448" w:rsidP="00404448">
            <w:pPr>
              <w:rPr>
                <w:lang w:val="nb-NO"/>
              </w:rPr>
            </w:pPr>
            <w:r>
              <w:rPr>
                <w:lang w:val="nb-NO"/>
              </w:rPr>
              <w:t xml:space="preserve">0% vignetting </w:t>
            </w:r>
            <w:r w:rsidRPr="009314F8">
              <w:rPr>
                <w:lang w:val="nb-NO"/>
              </w:rPr>
              <w:t>diameter</w:t>
            </w:r>
          </w:p>
          <w:p w:rsidR="00404448" w:rsidRPr="009314F8" w:rsidRDefault="00404448" w:rsidP="00404448">
            <w:pPr>
              <w:rPr>
                <w:lang w:val="nb-NO"/>
              </w:rPr>
            </w:pPr>
            <w:r w:rsidRPr="009314F8">
              <w:rPr>
                <w:lang w:val="nb-NO"/>
              </w:rPr>
              <w:t>Vignetting at 13.88° diameter</w:t>
            </w:r>
          </w:p>
        </w:tc>
        <w:tc>
          <w:tcPr>
            <w:tcW w:w="2599" w:type="dxa"/>
            <w:tcBorders>
              <w:top w:val="single" w:sz="4" w:space="0" w:color="808080"/>
              <w:left w:val="single" w:sz="4" w:space="0" w:color="808080"/>
              <w:bottom w:val="single" w:sz="4" w:space="0" w:color="808080"/>
              <w:right w:val="single" w:sz="4" w:space="0" w:color="808080"/>
            </w:tcBorders>
          </w:tcPr>
          <w:p w:rsidR="00404448" w:rsidRPr="009314F8" w:rsidRDefault="00404448" w:rsidP="00404448">
            <w:r w:rsidRPr="009314F8">
              <w:t>9.06°</w:t>
            </w:r>
          </w:p>
          <w:p w:rsidR="00404448" w:rsidRPr="009314F8" w:rsidRDefault="00404448" w:rsidP="00404448">
            <w:r w:rsidRPr="009314F8">
              <w:t>11%</w:t>
            </w:r>
          </w:p>
        </w:tc>
      </w:tr>
      <w:tr w:rsidR="00404448" w:rsidRPr="009314F8">
        <w:trPr>
          <w:trHeight w:val="267"/>
          <w:tblCellSpacing w:w="0" w:type="dxa"/>
        </w:trPr>
        <w:tc>
          <w:tcPr>
            <w:tcW w:w="4965" w:type="dxa"/>
            <w:tcBorders>
              <w:top w:val="single" w:sz="4" w:space="0" w:color="808080"/>
              <w:left w:val="single" w:sz="4" w:space="0" w:color="808080"/>
              <w:bottom w:val="single" w:sz="4" w:space="0" w:color="808080"/>
              <w:right w:val="single" w:sz="4" w:space="0" w:color="808080"/>
            </w:tcBorders>
          </w:tcPr>
          <w:p w:rsidR="00404448" w:rsidRPr="009314F8" w:rsidRDefault="00404448" w:rsidP="00404448">
            <w:r w:rsidRPr="009314F8">
              <w:t>Total Stray Light Signal</w:t>
            </w:r>
          </w:p>
        </w:tc>
        <w:tc>
          <w:tcPr>
            <w:tcW w:w="2599" w:type="dxa"/>
            <w:tcBorders>
              <w:top w:val="single" w:sz="4" w:space="0" w:color="808080"/>
              <w:left w:val="single" w:sz="4" w:space="0" w:color="808080"/>
              <w:bottom w:val="single" w:sz="4" w:space="0" w:color="808080"/>
              <w:right w:val="single" w:sz="4" w:space="0" w:color="808080"/>
            </w:tcBorders>
          </w:tcPr>
          <w:p w:rsidR="00404448" w:rsidRPr="009314F8" w:rsidRDefault="00404448" w:rsidP="00404448">
            <w:r w:rsidRPr="009314F8">
              <w:t>140 e-/</w:t>
            </w:r>
            <w:r>
              <w:t>pix/</w:t>
            </w:r>
            <w:r w:rsidRPr="009314F8">
              <w:t>s</w:t>
            </w:r>
          </w:p>
        </w:tc>
      </w:tr>
      <w:tr w:rsidR="00404448" w:rsidRPr="009314F8">
        <w:trPr>
          <w:trHeight w:val="958"/>
          <w:tblCellSpacing w:w="0" w:type="dxa"/>
        </w:trPr>
        <w:tc>
          <w:tcPr>
            <w:tcW w:w="4965" w:type="dxa"/>
            <w:tcBorders>
              <w:top w:val="single" w:sz="4" w:space="0" w:color="808080"/>
              <w:left w:val="single" w:sz="4" w:space="0" w:color="808080"/>
              <w:bottom w:val="single" w:sz="4" w:space="0" w:color="808080"/>
              <w:right w:val="single" w:sz="4" w:space="0" w:color="808080"/>
            </w:tcBorders>
          </w:tcPr>
          <w:p w:rsidR="00404448" w:rsidRPr="009314F8" w:rsidRDefault="00404448" w:rsidP="00404448">
            <w:r w:rsidRPr="009314F8">
              <w:t>PSF</w:t>
            </w:r>
          </w:p>
          <w:p w:rsidR="00404448" w:rsidRPr="009314F8" w:rsidRDefault="00404448" w:rsidP="00404448">
            <w:r w:rsidRPr="009314F8">
              <w:t>Maximum 95% encircled energy diameter including tolerances</w:t>
            </w:r>
          </w:p>
          <w:p w:rsidR="00404448" w:rsidRPr="009314F8" w:rsidRDefault="00404448" w:rsidP="00404448">
            <w:r w:rsidRPr="009314F8">
              <w:t>(Telescope Only)</w:t>
            </w:r>
          </w:p>
        </w:tc>
        <w:tc>
          <w:tcPr>
            <w:tcW w:w="2599" w:type="dxa"/>
            <w:tcBorders>
              <w:top w:val="single" w:sz="4" w:space="0" w:color="808080"/>
              <w:left w:val="single" w:sz="4" w:space="0" w:color="808080"/>
              <w:bottom w:val="single" w:sz="4" w:space="0" w:color="808080"/>
              <w:right w:val="single" w:sz="4" w:space="0" w:color="808080"/>
            </w:tcBorders>
          </w:tcPr>
          <w:p w:rsidR="00404448" w:rsidRPr="009314F8" w:rsidRDefault="00404448" w:rsidP="00404448"/>
          <w:p w:rsidR="00404448" w:rsidRPr="009314F8" w:rsidRDefault="00404448" w:rsidP="00404448">
            <w:r w:rsidRPr="009314F8">
              <w:t>146.7 µm</w:t>
            </w:r>
          </w:p>
        </w:tc>
      </w:tr>
      <w:tr w:rsidR="00404448" w:rsidRPr="009314F8">
        <w:trPr>
          <w:trHeight w:val="833"/>
          <w:tblCellSpacing w:w="0" w:type="dxa"/>
        </w:trPr>
        <w:tc>
          <w:tcPr>
            <w:tcW w:w="4965" w:type="dxa"/>
            <w:tcBorders>
              <w:top w:val="single" w:sz="4" w:space="0" w:color="808080"/>
              <w:left w:val="single" w:sz="4" w:space="0" w:color="808080"/>
              <w:bottom w:val="single" w:sz="4" w:space="0" w:color="808080"/>
              <w:right w:val="single" w:sz="4" w:space="0" w:color="808080"/>
            </w:tcBorders>
          </w:tcPr>
          <w:p w:rsidR="00404448" w:rsidRPr="009314F8" w:rsidRDefault="00404448" w:rsidP="00404448">
            <w:r w:rsidRPr="009314F8">
              <w:t xml:space="preserve">PSF </w:t>
            </w:r>
          </w:p>
          <w:p w:rsidR="00404448" w:rsidRPr="009314F8" w:rsidRDefault="00404448" w:rsidP="00404448">
            <w:r w:rsidRPr="009314F8">
              <w:t>(Photometer Performance incl</w:t>
            </w:r>
            <w:r w:rsidR="002D095B">
              <w:t>uding</w:t>
            </w:r>
            <w:r w:rsidRPr="009314F8">
              <w:t xml:space="preserve"> </w:t>
            </w:r>
            <w:r w:rsidR="002D095B" w:rsidRPr="009314F8">
              <w:t>CCDs</w:t>
            </w:r>
            <w:r w:rsidRPr="009314F8">
              <w:t xml:space="preserve">) </w:t>
            </w:r>
          </w:p>
          <w:p w:rsidR="00404448" w:rsidRPr="009314F8" w:rsidRDefault="00404448" w:rsidP="00404448">
            <w:r w:rsidRPr="009314F8">
              <w:t>95% encircled energy diameter</w:t>
            </w:r>
          </w:p>
          <w:p w:rsidR="00404448" w:rsidRDefault="00404448" w:rsidP="00404448">
            <w:r w:rsidRPr="009314F8">
              <w:t>Maximum energy in center pixel</w:t>
            </w:r>
          </w:p>
          <w:p w:rsidR="00404448" w:rsidRPr="009314F8" w:rsidRDefault="00404448" w:rsidP="00404448">
            <w:r>
              <w:t xml:space="preserve">See </w:t>
            </w:r>
            <w:r w:rsidR="00E607E6">
              <w:t>§</w:t>
            </w:r>
            <w:r w:rsidR="004C78B9">
              <w:fldChar w:fldCharType="begin"/>
            </w:r>
            <w:r>
              <w:instrText xml:space="preserve"> REF _Ref106254111 \r \h </w:instrText>
            </w:r>
            <w:r w:rsidR="004C78B9">
              <w:fldChar w:fldCharType="separate"/>
            </w:r>
            <w:r w:rsidR="000D2EB4">
              <w:t>3.5</w:t>
            </w:r>
            <w:r w:rsidR="004C78B9">
              <w:fldChar w:fldCharType="end"/>
            </w:r>
            <w:r>
              <w:t xml:space="preserve"> for on-orbit performance.</w:t>
            </w:r>
          </w:p>
        </w:tc>
        <w:tc>
          <w:tcPr>
            <w:tcW w:w="2599" w:type="dxa"/>
            <w:tcBorders>
              <w:top w:val="single" w:sz="4" w:space="0" w:color="808080"/>
              <w:left w:val="single" w:sz="4" w:space="0" w:color="808080"/>
              <w:bottom w:val="single" w:sz="4" w:space="0" w:color="808080"/>
              <w:right w:val="single" w:sz="4" w:space="0" w:color="808080"/>
            </w:tcBorders>
          </w:tcPr>
          <w:p w:rsidR="00404448" w:rsidRPr="009314F8" w:rsidRDefault="00404448" w:rsidP="00404448"/>
          <w:p w:rsidR="00404448" w:rsidRPr="009314F8" w:rsidRDefault="00404448" w:rsidP="00404448"/>
          <w:p w:rsidR="00404448" w:rsidRPr="009314F8" w:rsidRDefault="00404448" w:rsidP="00404448">
            <w:r w:rsidRPr="009314F8">
              <w:t>173.7 µm</w:t>
            </w:r>
            <w:r>
              <w:t xml:space="preserve"> = 6.4 pixels</w:t>
            </w:r>
          </w:p>
          <w:p w:rsidR="00404448" w:rsidRPr="009314F8" w:rsidRDefault="00404448" w:rsidP="00404448">
            <w:pPr>
              <w:keepNext/>
            </w:pPr>
            <w:r>
              <w:t>50</w:t>
            </w:r>
            <w:r w:rsidRPr="009314F8">
              <w:t>%</w:t>
            </w:r>
          </w:p>
        </w:tc>
      </w:tr>
    </w:tbl>
    <w:p w:rsidR="00404448" w:rsidRPr="00760C6A" w:rsidRDefault="00404448" w:rsidP="00404448"/>
    <w:p w:rsidR="00404448" w:rsidRPr="00394F88" w:rsidRDefault="00404448" w:rsidP="00404448">
      <w:pPr>
        <w:pStyle w:val="Heading2"/>
        <w:rPr>
          <w:sz w:val="22"/>
        </w:rPr>
      </w:pPr>
      <w:bookmarkStart w:id="61" w:name="_Toc322942160"/>
      <w:r w:rsidRPr="00394F88">
        <w:rPr>
          <w:sz w:val="22"/>
        </w:rPr>
        <w:t>Optical Components</w:t>
      </w:r>
      <w:bookmarkEnd w:id="61"/>
    </w:p>
    <w:p w:rsidR="00404448" w:rsidRDefault="00404448" w:rsidP="00404448">
      <w:pPr>
        <w:pStyle w:val="Heading3"/>
      </w:pPr>
      <w:bookmarkStart w:id="62" w:name="_Toc322942161"/>
      <w:r>
        <w:t>Primary</w:t>
      </w:r>
      <w:bookmarkEnd w:id="62"/>
    </w:p>
    <w:p w:rsidR="00404448" w:rsidRPr="006826C8" w:rsidRDefault="00404448" w:rsidP="00404448">
      <w:r>
        <w:t>(much of this section from Cameron, 2008).</w:t>
      </w:r>
    </w:p>
    <w:p w:rsidR="00404448" w:rsidRPr="006826C8" w:rsidRDefault="00404448" w:rsidP="00404448">
      <w:pPr>
        <w:autoSpaceDE w:val="0"/>
        <w:autoSpaceDN w:val="0"/>
        <w:adjustRightInd w:val="0"/>
        <w:rPr>
          <w:rFonts w:cs="Arial"/>
          <w:snapToGrid w:val="0"/>
        </w:rPr>
      </w:pPr>
      <w:r>
        <w:rPr>
          <w:snapToGrid w:val="0"/>
        </w:rPr>
        <w:t xml:space="preserve">The </w:t>
      </w:r>
      <w:r w:rsidRPr="006826C8">
        <w:rPr>
          <w:snapToGrid w:val="0"/>
        </w:rPr>
        <w:t>Primary Mirror</w:t>
      </w:r>
      <w:r>
        <w:rPr>
          <w:snapToGrid w:val="0"/>
        </w:rPr>
        <w:t xml:space="preserve"> (PM) was manufactured </w:t>
      </w:r>
      <w:r w:rsidRPr="006826C8">
        <w:rPr>
          <w:rFonts w:cs="Arial"/>
          <w:snapToGrid w:val="0"/>
        </w:rPr>
        <w:t xml:space="preserve">by </w:t>
      </w:r>
      <w:r>
        <w:rPr>
          <w:rFonts w:cs="Arial"/>
          <w:snapToGrid w:val="0"/>
        </w:rPr>
        <w:t xml:space="preserve">the </w:t>
      </w:r>
      <w:r w:rsidRPr="006826C8">
        <w:rPr>
          <w:rFonts w:cs="Arial"/>
          <w:snapToGrid w:val="0"/>
        </w:rPr>
        <w:t>Brashear</w:t>
      </w:r>
      <w:r>
        <w:rPr>
          <w:rFonts w:cs="Arial"/>
          <w:snapToGrid w:val="0"/>
        </w:rPr>
        <w:t xml:space="preserve"> Corporation</w:t>
      </w:r>
      <w:r w:rsidRPr="006826C8">
        <w:rPr>
          <w:rFonts w:cs="Arial"/>
          <w:snapToGrid w:val="0"/>
        </w:rPr>
        <w:t xml:space="preserve">.  </w:t>
      </w:r>
      <w:r>
        <w:rPr>
          <w:rFonts w:cs="Arial"/>
          <w:snapToGrid w:val="0"/>
        </w:rPr>
        <w:t xml:space="preserve">The Ultra-Low Expansion (ULE) blank, which is 86% </w:t>
      </w:r>
      <w:r w:rsidR="002D095B">
        <w:rPr>
          <w:rFonts w:cs="Arial"/>
          <w:snapToGrid w:val="0"/>
        </w:rPr>
        <w:t>light weighted</w:t>
      </w:r>
      <w:r>
        <w:rPr>
          <w:rFonts w:cs="Arial"/>
          <w:snapToGrid w:val="0"/>
        </w:rPr>
        <w:t xml:space="preserve">, was produced by Corning.  </w:t>
      </w:r>
      <w:r w:rsidRPr="006826C8">
        <w:rPr>
          <w:rFonts w:cs="Arial"/>
          <w:snapToGrid w:val="0"/>
        </w:rPr>
        <w:t xml:space="preserve">Brashear measured several parameters of the PM before shipping the substrate to the coating vendor.  The following are a selected few of the measurements.  The measured radius of curvature </w:t>
      </w:r>
      <w:r>
        <w:rPr>
          <w:rFonts w:cs="Arial"/>
          <w:snapToGrid w:val="0"/>
        </w:rPr>
        <w:t xml:space="preserve">at room temperature </w:t>
      </w:r>
      <w:r w:rsidRPr="006826C8">
        <w:rPr>
          <w:rFonts w:cs="Arial"/>
          <w:snapToGrid w:val="0"/>
        </w:rPr>
        <w:t xml:space="preserve">= 2784.83 mm with an uncertainty of </w:t>
      </w:r>
      <w:r w:rsidRPr="006826C8">
        <w:rPr>
          <w:rFonts w:cs="Arial"/>
        </w:rPr>
        <w:t>±</w:t>
      </w:r>
      <w:r>
        <w:rPr>
          <w:rFonts w:cs="Arial"/>
          <w:snapToGrid w:val="0"/>
        </w:rPr>
        <w:t xml:space="preserve"> 0.05 mm, within tolerance of t</w:t>
      </w:r>
      <w:r w:rsidRPr="006826C8">
        <w:rPr>
          <w:rFonts w:cs="Arial"/>
          <w:snapToGrid w:val="0"/>
        </w:rPr>
        <w:t xml:space="preserve">he required </w:t>
      </w:r>
      <w:r>
        <w:rPr>
          <w:rFonts w:cs="Arial"/>
          <w:snapToGrid w:val="0"/>
        </w:rPr>
        <w:t xml:space="preserve">room temperature </w:t>
      </w:r>
      <w:r w:rsidRPr="006826C8">
        <w:rPr>
          <w:rFonts w:cs="Arial"/>
          <w:snapToGrid w:val="0"/>
        </w:rPr>
        <w:t>radius =</w:t>
      </w:r>
      <w:r w:rsidRPr="006826C8">
        <w:rPr>
          <w:rFonts w:cs="Arial"/>
        </w:rPr>
        <w:t xml:space="preserve"> 2784.99 mm concave ± 0.7 mm.  Total surface error over the 1.4 m C</w:t>
      </w:r>
      <w:r>
        <w:rPr>
          <w:rFonts w:cs="Arial"/>
        </w:rPr>
        <w:t xml:space="preserve">lear </w:t>
      </w:r>
      <w:r w:rsidRPr="006826C8">
        <w:rPr>
          <w:rFonts w:cs="Arial"/>
        </w:rPr>
        <w:t>A</w:t>
      </w:r>
      <w:r>
        <w:rPr>
          <w:rFonts w:cs="Arial"/>
        </w:rPr>
        <w:t>perture</w:t>
      </w:r>
      <w:r w:rsidRPr="006826C8">
        <w:rPr>
          <w:rFonts w:cs="Arial"/>
        </w:rPr>
        <w:t xml:space="preserve"> requirement is .075 wave rms at 632.8 nm.  Measured surface erro</w:t>
      </w:r>
      <w:r>
        <w:rPr>
          <w:rFonts w:cs="Arial"/>
        </w:rPr>
        <w:t>r is 0.0585 wave rms over the Clear Aperture</w:t>
      </w:r>
      <w:r w:rsidRPr="006826C8">
        <w:rPr>
          <w:rFonts w:cs="Arial"/>
        </w:rPr>
        <w:t xml:space="preserve"> at room temperature.  The specification for surface roughness was 2 nm rms, and the surface measured 0.94 nm average and 1.15 nm maximum.</w:t>
      </w:r>
      <w:r w:rsidRPr="006826C8">
        <w:rPr>
          <w:rFonts w:cs="Arial"/>
          <w:snapToGrid w:val="0"/>
        </w:rPr>
        <w:t xml:space="preserve"> </w:t>
      </w:r>
    </w:p>
    <w:p w:rsidR="00404448" w:rsidRPr="006826C8" w:rsidRDefault="00404448" w:rsidP="00404448">
      <w:pPr>
        <w:autoSpaceDE w:val="0"/>
        <w:autoSpaceDN w:val="0"/>
        <w:adjustRightInd w:val="0"/>
        <w:rPr>
          <w:rFonts w:cs="Arial"/>
          <w:snapToGrid w:val="0"/>
        </w:rPr>
      </w:pPr>
      <w:r>
        <w:rPr>
          <w:rFonts w:cs="Arial"/>
          <w:snapToGrid w:val="0"/>
        </w:rPr>
        <w:t xml:space="preserve">The mirror coating is an enhanced silver coating applied by Surface Optics Corporation.  </w:t>
      </w:r>
      <w:r w:rsidRPr="006826C8">
        <w:rPr>
          <w:rFonts w:cs="Arial"/>
          <w:snapToGrid w:val="0"/>
        </w:rPr>
        <w:t xml:space="preserve">The PM radius of curvature was not measured after the mirror coating was applied.  </w:t>
      </w:r>
    </w:p>
    <w:p w:rsidR="00404448" w:rsidRDefault="000518AB" w:rsidP="00404448">
      <w:pPr>
        <w:keepNext/>
        <w:autoSpaceDE w:val="0"/>
        <w:autoSpaceDN w:val="0"/>
        <w:adjustRightInd w:val="0"/>
      </w:pPr>
      <w:r>
        <w:rPr>
          <w:rFonts w:cs="Arial"/>
          <w:noProof/>
        </w:rPr>
        <w:drawing>
          <wp:inline distT="0" distB="0" distL="0" distR="0">
            <wp:extent cx="5833745" cy="5344795"/>
            <wp:effectExtent l="50800" t="25400" r="33655" b="146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a:srcRect/>
                    <a:stretch>
                      <a:fillRect/>
                    </a:stretch>
                  </pic:blipFill>
                  <pic:spPr bwMode="auto">
                    <a:xfrm>
                      <a:off x="0" y="0"/>
                      <a:ext cx="5833745" cy="5344795"/>
                    </a:xfrm>
                    <a:prstGeom prst="rect">
                      <a:avLst/>
                    </a:prstGeom>
                    <a:noFill/>
                    <a:ln w="6350" cmpd="sng">
                      <a:solidFill>
                        <a:srgbClr val="000000"/>
                      </a:solidFill>
                      <a:miter lim="800000"/>
                      <a:headEnd/>
                      <a:tailEnd/>
                    </a:ln>
                    <a:effectLst/>
                  </pic:spPr>
                </pic:pic>
              </a:graphicData>
            </a:graphic>
          </wp:inline>
        </w:drawing>
      </w:r>
    </w:p>
    <w:p w:rsidR="00404448" w:rsidRPr="006B265B" w:rsidRDefault="00404448" w:rsidP="00404448">
      <w:pPr>
        <w:pStyle w:val="Caption"/>
        <w:rPr>
          <w:snapToGrid w:val="0"/>
        </w:rPr>
      </w:pPr>
      <w:bookmarkStart w:id="63" w:name="_Toc322942241"/>
      <w:r>
        <w:t xml:space="preserve">Figure </w:t>
      </w:r>
      <w:fldSimple w:instr=" SEQ Figure \* ARABIC ">
        <w:r w:rsidR="000D2EB4">
          <w:rPr>
            <w:noProof/>
          </w:rPr>
          <w:t>11</w:t>
        </w:r>
      </w:fldSimple>
      <w:r>
        <w:t xml:space="preserve">:  Figure of </w:t>
      </w:r>
      <w:r w:rsidR="004A3FBE" w:rsidRPr="004A3FBE">
        <w:rPr>
          <w:i/>
        </w:rPr>
        <w:t>Kepler</w:t>
      </w:r>
      <w:r>
        <w:t xml:space="preserve"> Primary Mirror with Respect to a Sphere.  Note 6-fold deformation due to mounting pads.</w:t>
      </w:r>
      <w:bookmarkEnd w:id="63"/>
    </w:p>
    <w:p w:rsidR="00404448" w:rsidRDefault="00404448" w:rsidP="00404448">
      <w:pPr>
        <w:autoSpaceDE w:val="0"/>
        <w:autoSpaceDN w:val="0"/>
        <w:adjustRightInd w:val="0"/>
      </w:pPr>
      <w:r>
        <w:rPr>
          <w:snapToGrid w:val="0"/>
        </w:rPr>
        <w:t>Any single star will only use a fraction of the PM surface area.  The area fraction is about (0.95/1.4)</w:t>
      </w:r>
      <w:r w:rsidRPr="00B36258">
        <w:rPr>
          <w:snapToGrid w:val="0"/>
          <w:vertAlign w:val="superscript"/>
        </w:rPr>
        <w:t>2</w:t>
      </w:r>
      <w:r>
        <w:rPr>
          <w:snapToGrid w:val="0"/>
        </w:rPr>
        <w:t xml:space="preserve"> = 0.46 or 46 %. </w:t>
      </w:r>
      <w:r>
        <w:t>The wavefront error is exactly twice the surface figure error, because of the reflection.</w:t>
      </w:r>
    </w:p>
    <w:p w:rsidR="00404448" w:rsidRPr="005D3CCC" w:rsidRDefault="00404448" w:rsidP="00404448">
      <w:pPr>
        <w:autoSpaceDE w:val="0"/>
        <w:autoSpaceDN w:val="0"/>
        <w:adjustRightInd w:val="0"/>
        <w:rPr>
          <w:snapToGrid w:val="0"/>
        </w:rPr>
      </w:pPr>
      <w:r>
        <w:t xml:space="preserve">The spectral properties of the coated PM are shown in </w:t>
      </w:r>
      <w:r w:rsidR="004C78B9">
        <w:fldChar w:fldCharType="begin"/>
      </w:r>
      <w:r w:rsidR="00C903B6">
        <w:instrText xml:space="preserve"> REF _Ref202082878 \h </w:instrText>
      </w:r>
      <w:r w:rsidR="004C78B9">
        <w:fldChar w:fldCharType="separate"/>
      </w:r>
      <w:r w:rsidR="000D2EB4">
        <w:t xml:space="preserve">Figure </w:t>
      </w:r>
      <w:r w:rsidR="000D2EB4">
        <w:rPr>
          <w:noProof/>
        </w:rPr>
        <w:t>13</w:t>
      </w:r>
      <w:r w:rsidR="004C78B9">
        <w:fldChar w:fldCharType="end"/>
      </w:r>
      <w:r>
        <w:t>.</w:t>
      </w:r>
    </w:p>
    <w:p w:rsidR="00404448" w:rsidRDefault="00404448" w:rsidP="00404448">
      <w:pPr>
        <w:pStyle w:val="Heading3"/>
      </w:pPr>
      <w:bookmarkStart w:id="64" w:name="_Toc322942162"/>
      <w:r>
        <w:t>Schmidt Corrector</w:t>
      </w:r>
      <w:bookmarkEnd w:id="64"/>
    </w:p>
    <w:p w:rsidR="00404448" w:rsidRPr="00F04413" w:rsidRDefault="00404448" w:rsidP="00404448">
      <w:r>
        <w:t>(from Cameron, 2008)</w:t>
      </w:r>
    </w:p>
    <w:p w:rsidR="00404448" w:rsidRPr="00780F1D" w:rsidRDefault="00404448" w:rsidP="00404448">
      <w:r>
        <w:t xml:space="preserve">The Schmidt Corrector (SCo) was manufactured by Tinsley Laboratories from a fused quartz blank produced by Corning.  The SCo was antireflection coated by Surface Optics.  </w:t>
      </w:r>
      <w:r w:rsidR="004C78B9">
        <w:fldChar w:fldCharType="begin"/>
      </w:r>
      <w:r w:rsidR="00C903B6">
        <w:instrText xml:space="preserve"> REF _Ref209847634 \h </w:instrText>
      </w:r>
      <w:r w:rsidR="004C78B9">
        <w:fldChar w:fldCharType="separate"/>
      </w:r>
      <w:r w:rsidR="000D2EB4">
        <w:t xml:space="preserve">Table </w:t>
      </w:r>
      <w:r w:rsidR="000D2EB4">
        <w:rPr>
          <w:noProof/>
        </w:rPr>
        <w:t>4</w:t>
      </w:r>
      <w:r w:rsidR="004C78B9">
        <w:fldChar w:fldCharType="end"/>
      </w:r>
      <w:r>
        <w:t xml:space="preserve"> shows the SCo parameters.  A good discussion of Schmidt correctors is given in Schroeder, 1987.</w:t>
      </w:r>
    </w:p>
    <w:p w:rsidR="00404448" w:rsidRDefault="00404448" w:rsidP="00404448">
      <w:pPr>
        <w:pStyle w:val="Caption"/>
        <w:keepNext/>
        <w:outlineLvl w:val="0"/>
      </w:pPr>
      <w:bookmarkStart w:id="65" w:name="_Ref209847634"/>
      <w:bookmarkStart w:id="66" w:name="_Toc322942283"/>
      <w:r>
        <w:t xml:space="preserve">Table </w:t>
      </w:r>
      <w:fldSimple w:instr=" SEQ Table \* ARABIC ">
        <w:r w:rsidR="000D2EB4">
          <w:rPr>
            <w:noProof/>
          </w:rPr>
          <w:t>4</w:t>
        </w:r>
      </w:fldSimple>
      <w:bookmarkEnd w:id="65"/>
      <w:r>
        <w:t xml:space="preserve">:  Parameters of </w:t>
      </w:r>
      <w:r w:rsidR="004A3FBE" w:rsidRPr="004A3FBE">
        <w:rPr>
          <w:i/>
        </w:rPr>
        <w:t>Kepler</w:t>
      </w:r>
      <w:r>
        <w:t xml:space="preserve"> Schmidt Corrector.</w:t>
      </w:r>
      <w:bookmarkEnd w:id="66"/>
    </w:p>
    <w:tbl>
      <w:tblPr>
        <w:tblW w:w="0" w:type="auto"/>
        <w:tblInd w:w="78" w:type="dxa"/>
        <w:tblLayout w:type="fixed"/>
        <w:tblLook w:val="0000"/>
      </w:tblPr>
      <w:tblGrid>
        <w:gridCol w:w="3074"/>
        <w:gridCol w:w="2271"/>
        <w:gridCol w:w="1418"/>
        <w:gridCol w:w="1325"/>
      </w:tblGrid>
      <w:tr w:rsidR="00404448" w:rsidRPr="00780F1D">
        <w:trPr>
          <w:trHeight w:val="290"/>
          <w:tblHeader/>
        </w:trPr>
        <w:tc>
          <w:tcPr>
            <w:tcW w:w="3074" w:type="dxa"/>
            <w:tcBorders>
              <w:top w:val="single" w:sz="2" w:space="0" w:color="000000"/>
              <w:left w:val="single" w:sz="2" w:space="0" w:color="000000"/>
              <w:bottom w:val="single" w:sz="2" w:space="0" w:color="000000"/>
              <w:right w:val="single" w:sz="2" w:space="0" w:color="000000"/>
            </w:tcBorders>
          </w:tcPr>
          <w:p w:rsidR="00404448" w:rsidRPr="00780F1D" w:rsidRDefault="00404448" w:rsidP="00404448">
            <w:pPr>
              <w:autoSpaceDE w:val="0"/>
              <w:autoSpaceDN w:val="0"/>
              <w:adjustRightInd w:val="0"/>
              <w:spacing w:after="0"/>
              <w:rPr>
                <w:rFonts w:eastAsia="Times New Roman" w:cs="Arial"/>
                <w:color w:val="000000"/>
                <w:u w:val="single"/>
              </w:rPr>
            </w:pPr>
            <w:r w:rsidRPr="00780F1D">
              <w:rPr>
                <w:rFonts w:eastAsia="Times New Roman" w:cs="Arial"/>
                <w:color w:val="000000"/>
                <w:u w:val="single"/>
              </w:rPr>
              <w:t>Parameter</w:t>
            </w:r>
          </w:p>
        </w:tc>
        <w:tc>
          <w:tcPr>
            <w:tcW w:w="2271" w:type="dxa"/>
            <w:tcBorders>
              <w:top w:val="single" w:sz="2" w:space="0" w:color="000000"/>
              <w:left w:val="single" w:sz="2" w:space="0" w:color="000000"/>
              <w:bottom w:val="single" w:sz="2" w:space="0" w:color="000000"/>
              <w:right w:val="single" w:sz="2" w:space="0" w:color="000000"/>
            </w:tcBorders>
          </w:tcPr>
          <w:p w:rsidR="00404448" w:rsidRPr="00780F1D" w:rsidRDefault="00404448" w:rsidP="00404448">
            <w:pPr>
              <w:autoSpaceDE w:val="0"/>
              <w:autoSpaceDN w:val="0"/>
              <w:adjustRightInd w:val="0"/>
              <w:spacing w:after="0"/>
              <w:jc w:val="right"/>
              <w:rPr>
                <w:rFonts w:eastAsia="Times New Roman" w:cs="Arial"/>
                <w:color w:val="000000"/>
                <w:u w:val="single"/>
              </w:rPr>
            </w:pPr>
            <w:r w:rsidRPr="00780F1D">
              <w:rPr>
                <w:rFonts w:eastAsia="Times New Roman" w:cs="Arial"/>
                <w:color w:val="000000"/>
                <w:u w:val="single"/>
              </w:rPr>
              <w:t>Design</w:t>
            </w:r>
          </w:p>
        </w:tc>
        <w:tc>
          <w:tcPr>
            <w:tcW w:w="1418" w:type="dxa"/>
            <w:tcBorders>
              <w:top w:val="single" w:sz="2" w:space="0" w:color="000000"/>
              <w:left w:val="single" w:sz="2" w:space="0" w:color="000000"/>
              <w:bottom w:val="single" w:sz="2" w:space="0" w:color="000000"/>
              <w:right w:val="single" w:sz="2" w:space="0" w:color="000000"/>
            </w:tcBorders>
          </w:tcPr>
          <w:p w:rsidR="00404448" w:rsidRPr="00780F1D" w:rsidRDefault="00404448" w:rsidP="00404448">
            <w:pPr>
              <w:autoSpaceDE w:val="0"/>
              <w:autoSpaceDN w:val="0"/>
              <w:adjustRightInd w:val="0"/>
              <w:spacing w:after="0"/>
              <w:jc w:val="right"/>
              <w:rPr>
                <w:rFonts w:eastAsia="Times New Roman" w:cs="Arial"/>
                <w:color w:val="000000"/>
                <w:u w:val="single"/>
              </w:rPr>
            </w:pPr>
            <w:r w:rsidRPr="00780F1D">
              <w:rPr>
                <w:rFonts w:eastAsia="Times New Roman" w:cs="Arial"/>
                <w:color w:val="000000"/>
                <w:u w:val="single"/>
              </w:rPr>
              <w:t>Tolerance</w:t>
            </w:r>
          </w:p>
        </w:tc>
        <w:tc>
          <w:tcPr>
            <w:tcW w:w="1325" w:type="dxa"/>
            <w:tcBorders>
              <w:top w:val="single" w:sz="2" w:space="0" w:color="000000"/>
              <w:left w:val="single" w:sz="2" w:space="0" w:color="000000"/>
              <w:bottom w:val="single" w:sz="2" w:space="0" w:color="000000"/>
              <w:right w:val="single" w:sz="2" w:space="0" w:color="000000"/>
            </w:tcBorders>
          </w:tcPr>
          <w:p w:rsidR="00404448" w:rsidRPr="00780F1D" w:rsidRDefault="00404448" w:rsidP="00404448">
            <w:pPr>
              <w:autoSpaceDE w:val="0"/>
              <w:autoSpaceDN w:val="0"/>
              <w:adjustRightInd w:val="0"/>
              <w:spacing w:after="0"/>
              <w:jc w:val="right"/>
              <w:rPr>
                <w:rFonts w:eastAsia="Times New Roman" w:cs="Arial"/>
                <w:color w:val="000000"/>
                <w:u w:val="single"/>
              </w:rPr>
            </w:pPr>
            <w:r w:rsidRPr="00780F1D">
              <w:rPr>
                <w:rFonts w:eastAsia="Times New Roman" w:cs="Arial"/>
                <w:color w:val="000000"/>
                <w:u w:val="single"/>
              </w:rPr>
              <w:t>Measured</w:t>
            </w:r>
          </w:p>
        </w:tc>
      </w:tr>
      <w:tr w:rsidR="00404448" w:rsidRPr="00780F1D">
        <w:trPr>
          <w:trHeight w:val="290"/>
        </w:trPr>
        <w:tc>
          <w:tcPr>
            <w:tcW w:w="3074" w:type="dxa"/>
            <w:tcBorders>
              <w:top w:val="single" w:sz="2" w:space="0" w:color="000000"/>
              <w:left w:val="single" w:sz="2" w:space="0" w:color="000000"/>
              <w:bottom w:val="single" w:sz="2" w:space="0" w:color="000000"/>
              <w:right w:val="single" w:sz="2" w:space="0" w:color="000000"/>
            </w:tcBorders>
          </w:tcPr>
          <w:p w:rsidR="00404448" w:rsidRPr="00780F1D" w:rsidRDefault="00404448" w:rsidP="00404448">
            <w:pPr>
              <w:autoSpaceDE w:val="0"/>
              <w:autoSpaceDN w:val="0"/>
              <w:adjustRightInd w:val="0"/>
              <w:spacing w:after="0"/>
              <w:rPr>
                <w:rFonts w:eastAsia="Times New Roman" w:cs="Arial"/>
                <w:color w:val="000000"/>
              </w:rPr>
            </w:pPr>
            <w:r w:rsidRPr="00780F1D">
              <w:rPr>
                <w:rFonts w:eastAsia="Times New Roman" w:cs="Arial"/>
                <w:color w:val="000000"/>
              </w:rPr>
              <w:t>Base Radius (mm)</w:t>
            </w:r>
          </w:p>
        </w:tc>
        <w:tc>
          <w:tcPr>
            <w:tcW w:w="2271" w:type="dxa"/>
            <w:tcBorders>
              <w:top w:val="single" w:sz="2" w:space="0" w:color="000000"/>
              <w:left w:val="single" w:sz="2" w:space="0" w:color="000000"/>
              <w:bottom w:val="single" w:sz="2" w:space="0" w:color="000000"/>
              <w:right w:val="single" w:sz="2" w:space="0" w:color="000000"/>
            </w:tcBorders>
          </w:tcPr>
          <w:p w:rsidR="00404448" w:rsidRPr="00780F1D" w:rsidRDefault="00404448" w:rsidP="00404448">
            <w:pPr>
              <w:autoSpaceDE w:val="0"/>
              <w:autoSpaceDN w:val="0"/>
              <w:adjustRightInd w:val="0"/>
              <w:spacing w:after="0"/>
              <w:jc w:val="right"/>
              <w:rPr>
                <w:rFonts w:eastAsia="Times New Roman" w:cs="Arial"/>
                <w:color w:val="000000"/>
              </w:rPr>
            </w:pPr>
            <w:r w:rsidRPr="00780F1D">
              <w:rPr>
                <w:rFonts w:eastAsia="Times New Roman" w:cs="Arial"/>
                <w:color w:val="000000"/>
              </w:rPr>
              <w:t>-73519.44</w:t>
            </w:r>
          </w:p>
        </w:tc>
        <w:tc>
          <w:tcPr>
            <w:tcW w:w="1418" w:type="dxa"/>
            <w:tcBorders>
              <w:top w:val="single" w:sz="2" w:space="0" w:color="000000"/>
              <w:left w:val="single" w:sz="2" w:space="0" w:color="000000"/>
              <w:bottom w:val="single" w:sz="2" w:space="0" w:color="000000"/>
              <w:right w:val="single" w:sz="2" w:space="0" w:color="000000"/>
            </w:tcBorders>
          </w:tcPr>
          <w:p w:rsidR="00404448" w:rsidRPr="00780F1D" w:rsidRDefault="00404448" w:rsidP="00404448">
            <w:pPr>
              <w:autoSpaceDE w:val="0"/>
              <w:autoSpaceDN w:val="0"/>
              <w:adjustRightInd w:val="0"/>
              <w:spacing w:after="0"/>
              <w:jc w:val="right"/>
              <w:rPr>
                <w:rFonts w:eastAsia="Times New Roman" w:cs="Arial"/>
                <w:color w:val="000000"/>
              </w:rPr>
            </w:pPr>
            <w:r w:rsidRPr="00780F1D">
              <w:rPr>
                <w:rFonts w:eastAsia="Times New Roman" w:cs="Arial"/>
                <w:color w:val="000000"/>
              </w:rPr>
              <w:t xml:space="preserve">± 2000      </w:t>
            </w:r>
          </w:p>
        </w:tc>
        <w:tc>
          <w:tcPr>
            <w:tcW w:w="1325" w:type="dxa"/>
            <w:tcBorders>
              <w:top w:val="single" w:sz="2" w:space="0" w:color="000000"/>
              <w:left w:val="single" w:sz="2" w:space="0" w:color="000000"/>
              <w:bottom w:val="single" w:sz="2" w:space="0" w:color="000000"/>
              <w:right w:val="single" w:sz="2" w:space="0" w:color="000000"/>
            </w:tcBorders>
          </w:tcPr>
          <w:p w:rsidR="00404448" w:rsidRPr="00780F1D" w:rsidRDefault="00404448" w:rsidP="00404448">
            <w:pPr>
              <w:autoSpaceDE w:val="0"/>
              <w:autoSpaceDN w:val="0"/>
              <w:adjustRightInd w:val="0"/>
              <w:spacing w:after="0"/>
              <w:jc w:val="right"/>
              <w:rPr>
                <w:rFonts w:eastAsia="Times New Roman" w:cs="Arial"/>
                <w:color w:val="000000"/>
              </w:rPr>
            </w:pPr>
            <w:r w:rsidRPr="00780F1D">
              <w:rPr>
                <w:rFonts w:eastAsia="Times New Roman" w:cs="Arial"/>
                <w:color w:val="000000"/>
              </w:rPr>
              <w:t>-73623.82</w:t>
            </w:r>
          </w:p>
        </w:tc>
      </w:tr>
      <w:tr w:rsidR="00404448" w:rsidRPr="00780F1D">
        <w:trPr>
          <w:trHeight w:val="290"/>
        </w:trPr>
        <w:tc>
          <w:tcPr>
            <w:tcW w:w="3074" w:type="dxa"/>
            <w:tcBorders>
              <w:top w:val="single" w:sz="2" w:space="0" w:color="000000"/>
              <w:left w:val="single" w:sz="2" w:space="0" w:color="000000"/>
              <w:bottom w:val="single" w:sz="2" w:space="0" w:color="000000"/>
              <w:right w:val="single" w:sz="2" w:space="0" w:color="000000"/>
            </w:tcBorders>
          </w:tcPr>
          <w:p w:rsidR="00404448" w:rsidRPr="00780F1D" w:rsidRDefault="00404448" w:rsidP="00404448">
            <w:pPr>
              <w:autoSpaceDE w:val="0"/>
              <w:autoSpaceDN w:val="0"/>
              <w:adjustRightInd w:val="0"/>
              <w:spacing w:after="0"/>
              <w:rPr>
                <w:rFonts w:eastAsia="Times New Roman" w:cs="Arial"/>
                <w:color w:val="000000"/>
              </w:rPr>
            </w:pPr>
            <w:r w:rsidRPr="00780F1D">
              <w:rPr>
                <w:rFonts w:eastAsia="Times New Roman" w:cs="Arial"/>
                <w:color w:val="000000"/>
              </w:rPr>
              <w:t>Aspheric Coef. A</w:t>
            </w:r>
          </w:p>
        </w:tc>
        <w:tc>
          <w:tcPr>
            <w:tcW w:w="2271" w:type="dxa"/>
            <w:tcBorders>
              <w:top w:val="single" w:sz="2" w:space="0" w:color="000000"/>
              <w:left w:val="single" w:sz="2" w:space="0" w:color="000000"/>
              <w:bottom w:val="single" w:sz="2" w:space="0" w:color="000000"/>
              <w:right w:val="single" w:sz="2" w:space="0" w:color="000000"/>
            </w:tcBorders>
          </w:tcPr>
          <w:p w:rsidR="00404448" w:rsidRPr="00780F1D" w:rsidRDefault="00404448" w:rsidP="00404448">
            <w:pPr>
              <w:autoSpaceDE w:val="0"/>
              <w:autoSpaceDN w:val="0"/>
              <w:adjustRightInd w:val="0"/>
              <w:spacing w:after="0"/>
              <w:jc w:val="right"/>
              <w:rPr>
                <w:rFonts w:eastAsia="Times New Roman" w:cs="Arial"/>
                <w:color w:val="000000"/>
              </w:rPr>
            </w:pPr>
            <w:r w:rsidRPr="00780F1D">
              <w:rPr>
                <w:rFonts w:eastAsia="Times New Roman" w:cs="Arial"/>
                <w:color w:val="000000"/>
              </w:rPr>
              <w:t>2.40E-11</w:t>
            </w:r>
          </w:p>
        </w:tc>
        <w:tc>
          <w:tcPr>
            <w:tcW w:w="1418" w:type="dxa"/>
            <w:tcBorders>
              <w:top w:val="single" w:sz="2" w:space="0" w:color="000000"/>
              <w:left w:val="single" w:sz="2" w:space="0" w:color="000000"/>
              <w:bottom w:val="single" w:sz="2" w:space="0" w:color="000000"/>
              <w:right w:val="single" w:sz="2" w:space="0" w:color="000000"/>
            </w:tcBorders>
          </w:tcPr>
          <w:p w:rsidR="00404448" w:rsidRPr="00780F1D" w:rsidRDefault="00404448" w:rsidP="00404448">
            <w:pPr>
              <w:autoSpaceDE w:val="0"/>
              <w:autoSpaceDN w:val="0"/>
              <w:adjustRightInd w:val="0"/>
              <w:spacing w:after="0"/>
              <w:jc w:val="right"/>
              <w:rPr>
                <w:rFonts w:eastAsia="Times New Roman" w:cs="Arial"/>
                <w:color w:val="000000"/>
              </w:rPr>
            </w:pPr>
            <w:r w:rsidRPr="00780F1D">
              <w:rPr>
                <w:rFonts w:eastAsia="Times New Roman" w:cs="Arial"/>
                <w:color w:val="000000"/>
              </w:rPr>
              <w:t>± 0.18%</w:t>
            </w:r>
          </w:p>
        </w:tc>
        <w:tc>
          <w:tcPr>
            <w:tcW w:w="1325" w:type="dxa"/>
            <w:tcBorders>
              <w:top w:val="single" w:sz="2" w:space="0" w:color="000000"/>
              <w:left w:val="single" w:sz="2" w:space="0" w:color="000000"/>
              <w:bottom w:val="single" w:sz="2" w:space="0" w:color="000000"/>
              <w:right w:val="single" w:sz="2" w:space="0" w:color="000000"/>
            </w:tcBorders>
          </w:tcPr>
          <w:p w:rsidR="00404448" w:rsidRPr="00780F1D" w:rsidRDefault="00404448" w:rsidP="00404448">
            <w:pPr>
              <w:autoSpaceDE w:val="0"/>
              <w:autoSpaceDN w:val="0"/>
              <w:adjustRightInd w:val="0"/>
              <w:spacing w:after="0"/>
              <w:jc w:val="right"/>
              <w:rPr>
                <w:rFonts w:eastAsia="Times New Roman" w:cs="Arial"/>
                <w:color w:val="000000"/>
              </w:rPr>
            </w:pPr>
            <w:r w:rsidRPr="00780F1D">
              <w:rPr>
                <w:rFonts w:eastAsia="Times New Roman" w:cs="Arial"/>
                <w:color w:val="000000"/>
              </w:rPr>
              <w:t>2.40E-11</w:t>
            </w:r>
          </w:p>
        </w:tc>
      </w:tr>
      <w:tr w:rsidR="00404448" w:rsidRPr="00780F1D">
        <w:trPr>
          <w:trHeight w:val="290"/>
        </w:trPr>
        <w:tc>
          <w:tcPr>
            <w:tcW w:w="3074" w:type="dxa"/>
            <w:tcBorders>
              <w:top w:val="single" w:sz="2" w:space="0" w:color="000000"/>
              <w:left w:val="single" w:sz="2" w:space="0" w:color="000000"/>
              <w:bottom w:val="single" w:sz="2" w:space="0" w:color="000000"/>
              <w:right w:val="single" w:sz="2" w:space="0" w:color="000000"/>
            </w:tcBorders>
          </w:tcPr>
          <w:p w:rsidR="00404448" w:rsidRPr="00780F1D" w:rsidRDefault="00404448" w:rsidP="00404448">
            <w:pPr>
              <w:autoSpaceDE w:val="0"/>
              <w:autoSpaceDN w:val="0"/>
              <w:adjustRightInd w:val="0"/>
              <w:spacing w:after="0"/>
              <w:rPr>
                <w:rFonts w:eastAsia="Times New Roman" w:cs="Arial"/>
                <w:color w:val="000000"/>
              </w:rPr>
            </w:pPr>
            <w:r w:rsidRPr="00780F1D">
              <w:rPr>
                <w:rFonts w:eastAsia="Times New Roman" w:cs="Arial"/>
                <w:color w:val="000000"/>
              </w:rPr>
              <w:t>Aspheric Coef. B</w:t>
            </w:r>
          </w:p>
        </w:tc>
        <w:tc>
          <w:tcPr>
            <w:tcW w:w="2271" w:type="dxa"/>
            <w:tcBorders>
              <w:top w:val="single" w:sz="2" w:space="0" w:color="000000"/>
              <w:left w:val="single" w:sz="2" w:space="0" w:color="000000"/>
              <w:bottom w:val="single" w:sz="2" w:space="0" w:color="000000"/>
              <w:right w:val="single" w:sz="2" w:space="0" w:color="000000"/>
            </w:tcBorders>
          </w:tcPr>
          <w:p w:rsidR="00404448" w:rsidRPr="00780F1D" w:rsidRDefault="00404448" w:rsidP="00404448">
            <w:pPr>
              <w:autoSpaceDE w:val="0"/>
              <w:autoSpaceDN w:val="0"/>
              <w:adjustRightInd w:val="0"/>
              <w:spacing w:after="0"/>
              <w:jc w:val="right"/>
              <w:rPr>
                <w:rFonts w:eastAsia="Times New Roman" w:cs="Arial"/>
                <w:color w:val="000000"/>
              </w:rPr>
            </w:pPr>
            <w:r w:rsidRPr="00780F1D">
              <w:rPr>
                <w:rFonts w:eastAsia="Times New Roman" w:cs="Arial"/>
                <w:color w:val="000000"/>
              </w:rPr>
              <w:t>5.14E-18</w:t>
            </w:r>
          </w:p>
        </w:tc>
        <w:tc>
          <w:tcPr>
            <w:tcW w:w="1418" w:type="dxa"/>
            <w:tcBorders>
              <w:top w:val="single" w:sz="2" w:space="0" w:color="000000"/>
              <w:left w:val="single" w:sz="2" w:space="0" w:color="000000"/>
              <w:bottom w:val="single" w:sz="2" w:space="0" w:color="000000"/>
              <w:right w:val="single" w:sz="2" w:space="0" w:color="000000"/>
            </w:tcBorders>
          </w:tcPr>
          <w:p w:rsidR="00404448" w:rsidRPr="00780F1D" w:rsidRDefault="00404448" w:rsidP="00404448">
            <w:pPr>
              <w:autoSpaceDE w:val="0"/>
              <w:autoSpaceDN w:val="0"/>
              <w:adjustRightInd w:val="0"/>
              <w:spacing w:after="0"/>
              <w:jc w:val="right"/>
              <w:rPr>
                <w:rFonts w:eastAsia="Times New Roman" w:cs="Arial"/>
                <w:color w:val="000000"/>
              </w:rPr>
            </w:pPr>
            <w:r w:rsidRPr="00780F1D">
              <w:rPr>
                <w:rFonts w:eastAsia="Times New Roman" w:cs="Arial"/>
                <w:color w:val="000000"/>
              </w:rPr>
              <w:t>± 2.25%</w:t>
            </w:r>
          </w:p>
        </w:tc>
        <w:tc>
          <w:tcPr>
            <w:tcW w:w="1325" w:type="dxa"/>
            <w:tcBorders>
              <w:top w:val="single" w:sz="2" w:space="0" w:color="000000"/>
              <w:left w:val="single" w:sz="2" w:space="0" w:color="000000"/>
              <w:bottom w:val="single" w:sz="2" w:space="0" w:color="000000"/>
              <w:right w:val="single" w:sz="2" w:space="0" w:color="000000"/>
            </w:tcBorders>
          </w:tcPr>
          <w:p w:rsidR="00404448" w:rsidRPr="00780F1D" w:rsidRDefault="00404448" w:rsidP="00404448">
            <w:pPr>
              <w:autoSpaceDE w:val="0"/>
              <w:autoSpaceDN w:val="0"/>
              <w:adjustRightInd w:val="0"/>
              <w:spacing w:after="0"/>
              <w:jc w:val="right"/>
              <w:rPr>
                <w:rFonts w:eastAsia="Times New Roman" w:cs="Arial"/>
                <w:color w:val="000000"/>
              </w:rPr>
            </w:pPr>
            <w:r w:rsidRPr="00780F1D">
              <w:rPr>
                <w:rFonts w:eastAsia="Times New Roman" w:cs="Arial"/>
                <w:color w:val="000000"/>
              </w:rPr>
              <w:t>5.14E-18</w:t>
            </w:r>
          </w:p>
        </w:tc>
      </w:tr>
      <w:tr w:rsidR="00404448" w:rsidRPr="00780F1D">
        <w:trPr>
          <w:trHeight w:val="290"/>
        </w:trPr>
        <w:tc>
          <w:tcPr>
            <w:tcW w:w="3074" w:type="dxa"/>
            <w:tcBorders>
              <w:top w:val="single" w:sz="2" w:space="0" w:color="000000"/>
              <w:left w:val="single" w:sz="2" w:space="0" w:color="000000"/>
              <w:bottom w:val="single" w:sz="2" w:space="0" w:color="000000"/>
              <w:right w:val="single" w:sz="2" w:space="0" w:color="000000"/>
            </w:tcBorders>
          </w:tcPr>
          <w:p w:rsidR="00404448" w:rsidRPr="00780F1D" w:rsidRDefault="00404448" w:rsidP="00404448">
            <w:pPr>
              <w:autoSpaceDE w:val="0"/>
              <w:autoSpaceDN w:val="0"/>
              <w:adjustRightInd w:val="0"/>
              <w:spacing w:after="0"/>
              <w:rPr>
                <w:rFonts w:eastAsia="Times New Roman" w:cs="Arial"/>
                <w:color w:val="000000"/>
              </w:rPr>
            </w:pPr>
            <w:r w:rsidRPr="00780F1D">
              <w:rPr>
                <w:rFonts w:eastAsia="Times New Roman" w:cs="Arial"/>
                <w:color w:val="000000"/>
              </w:rPr>
              <w:t>RMS1 (Å)</w:t>
            </w:r>
          </w:p>
        </w:tc>
        <w:tc>
          <w:tcPr>
            <w:tcW w:w="2271" w:type="dxa"/>
            <w:tcBorders>
              <w:top w:val="single" w:sz="2" w:space="0" w:color="000000"/>
              <w:left w:val="single" w:sz="2" w:space="0" w:color="000000"/>
              <w:bottom w:val="single" w:sz="2" w:space="0" w:color="000000"/>
              <w:right w:val="single" w:sz="2" w:space="0" w:color="000000"/>
            </w:tcBorders>
          </w:tcPr>
          <w:p w:rsidR="00404448" w:rsidRPr="00780F1D" w:rsidRDefault="00404448" w:rsidP="00404448">
            <w:pPr>
              <w:autoSpaceDE w:val="0"/>
              <w:autoSpaceDN w:val="0"/>
              <w:adjustRightInd w:val="0"/>
              <w:spacing w:after="0"/>
              <w:jc w:val="right"/>
              <w:rPr>
                <w:rFonts w:eastAsia="Times New Roman" w:cs="Arial"/>
                <w:color w:val="000000"/>
              </w:rPr>
            </w:pPr>
            <w:r w:rsidRPr="00780F1D">
              <w:rPr>
                <w:rFonts w:eastAsia="Times New Roman" w:cs="Arial"/>
                <w:color w:val="000000"/>
              </w:rPr>
              <w:t>zero</w:t>
            </w:r>
          </w:p>
        </w:tc>
        <w:tc>
          <w:tcPr>
            <w:tcW w:w="1418" w:type="dxa"/>
            <w:tcBorders>
              <w:top w:val="single" w:sz="2" w:space="0" w:color="000000"/>
              <w:left w:val="single" w:sz="2" w:space="0" w:color="000000"/>
              <w:bottom w:val="single" w:sz="2" w:space="0" w:color="000000"/>
              <w:right w:val="single" w:sz="2" w:space="0" w:color="000000"/>
            </w:tcBorders>
          </w:tcPr>
          <w:p w:rsidR="00404448" w:rsidRPr="00780F1D" w:rsidRDefault="00404448" w:rsidP="00404448">
            <w:pPr>
              <w:autoSpaceDE w:val="0"/>
              <w:autoSpaceDN w:val="0"/>
              <w:adjustRightInd w:val="0"/>
              <w:spacing w:after="0"/>
              <w:jc w:val="right"/>
              <w:rPr>
                <w:rFonts w:eastAsia="Times New Roman" w:cs="Arial"/>
                <w:color w:val="000000"/>
              </w:rPr>
            </w:pPr>
            <w:r w:rsidRPr="00780F1D">
              <w:rPr>
                <w:rFonts w:eastAsia="Times New Roman" w:cs="Arial"/>
                <w:color w:val="000000"/>
              </w:rPr>
              <w:t>20</w:t>
            </w:r>
          </w:p>
        </w:tc>
        <w:tc>
          <w:tcPr>
            <w:tcW w:w="1325" w:type="dxa"/>
            <w:tcBorders>
              <w:top w:val="single" w:sz="2" w:space="0" w:color="000000"/>
              <w:left w:val="single" w:sz="2" w:space="0" w:color="000000"/>
              <w:bottom w:val="single" w:sz="2" w:space="0" w:color="000000"/>
              <w:right w:val="single" w:sz="2" w:space="0" w:color="000000"/>
            </w:tcBorders>
          </w:tcPr>
          <w:p w:rsidR="00404448" w:rsidRPr="00780F1D" w:rsidRDefault="00404448" w:rsidP="00404448">
            <w:pPr>
              <w:autoSpaceDE w:val="0"/>
              <w:autoSpaceDN w:val="0"/>
              <w:adjustRightInd w:val="0"/>
              <w:spacing w:after="0"/>
              <w:jc w:val="right"/>
              <w:rPr>
                <w:rFonts w:eastAsia="Times New Roman" w:cs="Arial"/>
                <w:color w:val="000000"/>
              </w:rPr>
            </w:pPr>
            <w:r w:rsidRPr="00780F1D">
              <w:rPr>
                <w:rFonts w:eastAsia="Times New Roman" w:cs="Arial"/>
                <w:color w:val="000000"/>
              </w:rPr>
              <w:t>6.24</w:t>
            </w:r>
          </w:p>
        </w:tc>
      </w:tr>
      <w:tr w:rsidR="00404448" w:rsidRPr="00780F1D">
        <w:trPr>
          <w:trHeight w:val="290"/>
        </w:trPr>
        <w:tc>
          <w:tcPr>
            <w:tcW w:w="3074" w:type="dxa"/>
            <w:tcBorders>
              <w:top w:val="single" w:sz="2" w:space="0" w:color="000000"/>
              <w:left w:val="single" w:sz="2" w:space="0" w:color="000000"/>
              <w:bottom w:val="single" w:sz="2" w:space="0" w:color="000000"/>
              <w:right w:val="single" w:sz="2" w:space="0" w:color="000000"/>
            </w:tcBorders>
          </w:tcPr>
          <w:p w:rsidR="00404448" w:rsidRPr="00780F1D" w:rsidRDefault="00404448" w:rsidP="00404448">
            <w:pPr>
              <w:autoSpaceDE w:val="0"/>
              <w:autoSpaceDN w:val="0"/>
              <w:adjustRightInd w:val="0"/>
              <w:spacing w:after="0"/>
              <w:rPr>
                <w:rFonts w:eastAsia="Times New Roman" w:cs="Arial"/>
                <w:color w:val="000000"/>
              </w:rPr>
            </w:pPr>
            <w:r w:rsidRPr="00780F1D">
              <w:rPr>
                <w:rFonts w:eastAsia="Times New Roman" w:cs="Arial"/>
                <w:color w:val="000000"/>
              </w:rPr>
              <w:t>RMS2 (Å)</w:t>
            </w:r>
          </w:p>
        </w:tc>
        <w:tc>
          <w:tcPr>
            <w:tcW w:w="2271" w:type="dxa"/>
            <w:tcBorders>
              <w:top w:val="single" w:sz="2" w:space="0" w:color="000000"/>
              <w:left w:val="single" w:sz="2" w:space="0" w:color="000000"/>
              <w:bottom w:val="single" w:sz="2" w:space="0" w:color="000000"/>
              <w:right w:val="single" w:sz="2" w:space="0" w:color="000000"/>
            </w:tcBorders>
          </w:tcPr>
          <w:p w:rsidR="00404448" w:rsidRPr="00780F1D" w:rsidRDefault="00404448" w:rsidP="00404448">
            <w:pPr>
              <w:autoSpaceDE w:val="0"/>
              <w:autoSpaceDN w:val="0"/>
              <w:adjustRightInd w:val="0"/>
              <w:spacing w:after="0"/>
              <w:jc w:val="right"/>
              <w:rPr>
                <w:rFonts w:eastAsia="Times New Roman" w:cs="Arial"/>
                <w:color w:val="000000"/>
              </w:rPr>
            </w:pPr>
            <w:r w:rsidRPr="00780F1D">
              <w:rPr>
                <w:rFonts w:eastAsia="Times New Roman" w:cs="Arial"/>
                <w:color w:val="000000"/>
              </w:rPr>
              <w:t>zero</w:t>
            </w:r>
          </w:p>
        </w:tc>
        <w:tc>
          <w:tcPr>
            <w:tcW w:w="1418" w:type="dxa"/>
            <w:tcBorders>
              <w:top w:val="single" w:sz="2" w:space="0" w:color="000000"/>
              <w:left w:val="single" w:sz="2" w:space="0" w:color="000000"/>
              <w:bottom w:val="single" w:sz="2" w:space="0" w:color="000000"/>
              <w:right w:val="single" w:sz="2" w:space="0" w:color="000000"/>
            </w:tcBorders>
          </w:tcPr>
          <w:p w:rsidR="00404448" w:rsidRPr="00780F1D" w:rsidRDefault="00404448" w:rsidP="00404448">
            <w:pPr>
              <w:autoSpaceDE w:val="0"/>
              <w:autoSpaceDN w:val="0"/>
              <w:adjustRightInd w:val="0"/>
              <w:spacing w:after="0"/>
              <w:jc w:val="right"/>
              <w:rPr>
                <w:rFonts w:eastAsia="Times New Roman" w:cs="Arial"/>
                <w:color w:val="000000"/>
              </w:rPr>
            </w:pPr>
            <w:r w:rsidRPr="00780F1D">
              <w:rPr>
                <w:rFonts w:eastAsia="Times New Roman" w:cs="Arial"/>
                <w:color w:val="000000"/>
              </w:rPr>
              <w:t>20</w:t>
            </w:r>
          </w:p>
        </w:tc>
        <w:tc>
          <w:tcPr>
            <w:tcW w:w="1325" w:type="dxa"/>
            <w:tcBorders>
              <w:top w:val="single" w:sz="2" w:space="0" w:color="000000"/>
              <w:left w:val="single" w:sz="2" w:space="0" w:color="000000"/>
              <w:bottom w:val="single" w:sz="2" w:space="0" w:color="000000"/>
              <w:right w:val="single" w:sz="2" w:space="0" w:color="000000"/>
            </w:tcBorders>
          </w:tcPr>
          <w:p w:rsidR="00404448" w:rsidRPr="00780F1D" w:rsidRDefault="00404448" w:rsidP="00404448">
            <w:pPr>
              <w:autoSpaceDE w:val="0"/>
              <w:autoSpaceDN w:val="0"/>
              <w:adjustRightInd w:val="0"/>
              <w:spacing w:after="0"/>
              <w:jc w:val="right"/>
              <w:rPr>
                <w:rFonts w:eastAsia="Times New Roman" w:cs="Arial"/>
                <w:color w:val="000000"/>
              </w:rPr>
            </w:pPr>
            <w:r w:rsidRPr="00780F1D">
              <w:rPr>
                <w:rFonts w:eastAsia="Times New Roman" w:cs="Arial"/>
                <w:color w:val="000000"/>
              </w:rPr>
              <w:t>7.28</w:t>
            </w:r>
          </w:p>
        </w:tc>
      </w:tr>
      <w:tr w:rsidR="00404448" w:rsidRPr="00780F1D">
        <w:trPr>
          <w:trHeight w:val="290"/>
        </w:trPr>
        <w:tc>
          <w:tcPr>
            <w:tcW w:w="3074" w:type="dxa"/>
            <w:tcBorders>
              <w:top w:val="single" w:sz="2" w:space="0" w:color="000000"/>
              <w:left w:val="single" w:sz="2" w:space="0" w:color="000000"/>
              <w:bottom w:val="single" w:sz="2" w:space="0" w:color="000000"/>
              <w:right w:val="single" w:sz="2" w:space="0" w:color="000000"/>
            </w:tcBorders>
          </w:tcPr>
          <w:p w:rsidR="00404448" w:rsidRPr="00780F1D" w:rsidRDefault="00404448" w:rsidP="00404448">
            <w:pPr>
              <w:autoSpaceDE w:val="0"/>
              <w:autoSpaceDN w:val="0"/>
              <w:adjustRightInd w:val="0"/>
              <w:spacing w:after="0"/>
              <w:rPr>
                <w:rFonts w:eastAsia="Times New Roman" w:cs="Arial"/>
                <w:color w:val="000000"/>
              </w:rPr>
            </w:pPr>
            <w:r w:rsidRPr="00780F1D">
              <w:rPr>
                <w:rFonts w:eastAsia="Times New Roman" w:cs="Arial"/>
                <w:color w:val="000000"/>
              </w:rPr>
              <w:t>Wedge TIR @ CA (mm)</w:t>
            </w:r>
          </w:p>
        </w:tc>
        <w:tc>
          <w:tcPr>
            <w:tcW w:w="2271" w:type="dxa"/>
            <w:tcBorders>
              <w:top w:val="single" w:sz="2" w:space="0" w:color="000000"/>
              <w:left w:val="single" w:sz="2" w:space="0" w:color="000000"/>
              <w:bottom w:val="single" w:sz="2" w:space="0" w:color="000000"/>
              <w:right w:val="single" w:sz="2" w:space="0" w:color="000000"/>
            </w:tcBorders>
          </w:tcPr>
          <w:p w:rsidR="00404448" w:rsidRPr="00780F1D" w:rsidRDefault="00404448" w:rsidP="00404448">
            <w:pPr>
              <w:autoSpaceDE w:val="0"/>
              <w:autoSpaceDN w:val="0"/>
              <w:adjustRightInd w:val="0"/>
              <w:spacing w:after="0"/>
              <w:jc w:val="right"/>
              <w:rPr>
                <w:rFonts w:eastAsia="Times New Roman" w:cs="Arial"/>
                <w:color w:val="000000"/>
              </w:rPr>
            </w:pPr>
            <w:r w:rsidRPr="00780F1D">
              <w:rPr>
                <w:rFonts w:eastAsia="Times New Roman" w:cs="Arial"/>
                <w:color w:val="000000"/>
              </w:rPr>
              <w:t>zero</w:t>
            </w:r>
          </w:p>
        </w:tc>
        <w:tc>
          <w:tcPr>
            <w:tcW w:w="1418" w:type="dxa"/>
            <w:tcBorders>
              <w:top w:val="single" w:sz="2" w:space="0" w:color="000000"/>
              <w:left w:val="single" w:sz="2" w:space="0" w:color="000000"/>
              <w:bottom w:val="single" w:sz="2" w:space="0" w:color="000000"/>
              <w:right w:val="single" w:sz="2" w:space="0" w:color="000000"/>
            </w:tcBorders>
          </w:tcPr>
          <w:p w:rsidR="00404448" w:rsidRPr="00780F1D" w:rsidRDefault="00404448" w:rsidP="00404448">
            <w:pPr>
              <w:autoSpaceDE w:val="0"/>
              <w:autoSpaceDN w:val="0"/>
              <w:adjustRightInd w:val="0"/>
              <w:spacing w:after="0"/>
              <w:jc w:val="right"/>
              <w:rPr>
                <w:rFonts w:eastAsia="Times New Roman" w:cs="Arial"/>
                <w:color w:val="000000"/>
              </w:rPr>
            </w:pPr>
            <w:r w:rsidRPr="00780F1D">
              <w:rPr>
                <w:rFonts w:eastAsia="Times New Roman" w:cs="Arial"/>
                <w:color w:val="000000"/>
              </w:rPr>
              <w:t>0.051</w:t>
            </w:r>
          </w:p>
        </w:tc>
        <w:tc>
          <w:tcPr>
            <w:tcW w:w="1325" w:type="dxa"/>
            <w:tcBorders>
              <w:top w:val="single" w:sz="2" w:space="0" w:color="000000"/>
              <w:left w:val="single" w:sz="2" w:space="0" w:color="000000"/>
              <w:bottom w:val="single" w:sz="2" w:space="0" w:color="000000"/>
              <w:right w:val="single" w:sz="2" w:space="0" w:color="000000"/>
            </w:tcBorders>
          </w:tcPr>
          <w:p w:rsidR="00404448" w:rsidRPr="00780F1D" w:rsidRDefault="00404448" w:rsidP="00404448">
            <w:pPr>
              <w:autoSpaceDE w:val="0"/>
              <w:autoSpaceDN w:val="0"/>
              <w:adjustRightInd w:val="0"/>
              <w:spacing w:after="0"/>
              <w:jc w:val="right"/>
              <w:rPr>
                <w:rFonts w:eastAsia="Times New Roman" w:cs="Arial"/>
                <w:color w:val="000000"/>
              </w:rPr>
            </w:pPr>
            <w:r w:rsidRPr="00780F1D">
              <w:rPr>
                <w:rFonts w:eastAsia="Times New Roman" w:cs="Arial"/>
                <w:color w:val="000000"/>
              </w:rPr>
              <w:t>0.023</w:t>
            </w:r>
          </w:p>
        </w:tc>
      </w:tr>
      <w:tr w:rsidR="00404448" w:rsidRPr="00780F1D">
        <w:trPr>
          <w:trHeight w:val="305"/>
        </w:trPr>
        <w:tc>
          <w:tcPr>
            <w:tcW w:w="3074" w:type="dxa"/>
            <w:tcBorders>
              <w:top w:val="single" w:sz="2" w:space="0" w:color="000000"/>
              <w:left w:val="single" w:sz="2" w:space="0" w:color="000000"/>
              <w:bottom w:val="single" w:sz="2" w:space="0" w:color="000000"/>
              <w:right w:val="single" w:sz="2" w:space="0" w:color="000000"/>
            </w:tcBorders>
          </w:tcPr>
          <w:p w:rsidR="00404448" w:rsidRPr="00780F1D" w:rsidRDefault="00404448" w:rsidP="00404448">
            <w:pPr>
              <w:autoSpaceDE w:val="0"/>
              <w:autoSpaceDN w:val="0"/>
              <w:adjustRightInd w:val="0"/>
              <w:spacing w:after="0"/>
              <w:rPr>
                <w:rFonts w:eastAsia="Times New Roman" w:cs="Arial"/>
                <w:color w:val="000000"/>
              </w:rPr>
            </w:pPr>
            <w:r w:rsidRPr="00780F1D">
              <w:rPr>
                <w:rFonts w:eastAsia="Times New Roman" w:cs="Arial"/>
                <w:color w:val="000000"/>
              </w:rPr>
              <w:t>Plano (</w:t>
            </w:r>
            <w:r w:rsidRPr="00780F1D">
              <w:rPr>
                <w:rFonts w:ascii="Symbol" w:eastAsia="Times New Roman" w:hAnsi="Symbol" w:cs="Symbol"/>
                <w:color w:val="000000"/>
              </w:rPr>
              <w:t></w:t>
            </w:r>
            <w:r w:rsidRPr="00780F1D">
              <w:rPr>
                <w:rFonts w:eastAsia="Times New Roman" w:cs="Arial"/>
                <w:color w:val="000000"/>
              </w:rPr>
              <w:t xml:space="preserve"> = .6328 </w:t>
            </w:r>
            <w:r w:rsidRPr="00780F1D">
              <w:rPr>
                <w:rFonts w:ascii="Symbol" w:eastAsia="Times New Roman" w:hAnsi="Symbol" w:cs="Symbol"/>
                <w:color w:val="000000"/>
              </w:rPr>
              <w:t></w:t>
            </w:r>
            <w:r w:rsidRPr="00780F1D">
              <w:rPr>
                <w:rFonts w:eastAsia="Times New Roman" w:cs="Arial"/>
                <w:color w:val="000000"/>
              </w:rPr>
              <w:t xml:space="preserve">m) </w:t>
            </w:r>
          </w:p>
        </w:tc>
        <w:tc>
          <w:tcPr>
            <w:tcW w:w="2271" w:type="dxa"/>
            <w:tcBorders>
              <w:top w:val="single" w:sz="2" w:space="0" w:color="000000"/>
              <w:left w:val="single" w:sz="2" w:space="0" w:color="000000"/>
              <w:bottom w:val="single" w:sz="2" w:space="0" w:color="000000"/>
              <w:right w:val="single" w:sz="2" w:space="0" w:color="000000"/>
            </w:tcBorders>
          </w:tcPr>
          <w:p w:rsidR="00404448" w:rsidRPr="00780F1D" w:rsidRDefault="00404448" w:rsidP="00404448">
            <w:pPr>
              <w:autoSpaceDE w:val="0"/>
              <w:autoSpaceDN w:val="0"/>
              <w:adjustRightInd w:val="0"/>
              <w:spacing w:after="0"/>
              <w:jc w:val="right"/>
              <w:rPr>
                <w:rFonts w:eastAsia="Times New Roman" w:cs="Arial"/>
                <w:color w:val="000000"/>
              </w:rPr>
            </w:pPr>
            <w:r w:rsidRPr="00780F1D">
              <w:rPr>
                <w:rFonts w:eastAsia="Times New Roman" w:cs="Arial"/>
                <w:color w:val="000000"/>
              </w:rPr>
              <w:t>flat</w:t>
            </w:r>
          </w:p>
        </w:tc>
        <w:tc>
          <w:tcPr>
            <w:tcW w:w="1418" w:type="dxa"/>
            <w:tcBorders>
              <w:top w:val="single" w:sz="2" w:space="0" w:color="000000"/>
              <w:left w:val="single" w:sz="2" w:space="0" w:color="000000"/>
              <w:bottom w:val="single" w:sz="2" w:space="0" w:color="000000"/>
              <w:right w:val="single" w:sz="2" w:space="0" w:color="000000"/>
            </w:tcBorders>
          </w:tcPr>
          <w:p w:rsidR="00404448" w:rsidRPr="00780F1D" w:rsidRDefault="00404448" w:rsidP="00404448">
            <w:pPr>
              <w:autoSpaceDE w:val="0"/>
              <w:autoSpaceDN w:val="0"/>
              <w:adjustRightInd w:val="0"/>
              <w:spacing w:after="0"/>
              <w:jc w:val="right"/>
              <w:rPr>
                <w:rFonts w:eastAsia="Times New Roman" w:cs="Arial"/>
                <w:color w:val="000000"/>
              </w:rPr>
            </w:pPr>
            <w:r w:rsidRPr="00780F1D">
              <w:rPr>
                <w:rFonts w:eastAsia="Times New Roman" w:cs="Arial"/>
                <w:color w:val="000000"/>
              </w:rPr>
              <w:t xml:space="preserve">0.2 </w:t>
            </w:r>
            <w:r w:rsidRPr="00780F1D">
              <w:rPr>
                <w:rFonts w:ascii="Symbol" w:eastAsia="Times New Roman" w:hAnsi="Symbol" w:cs="Symbol"/>
                <w:color w:val="000000"/>
              </w:rPr>
              <w:t></w:t>
            </w:r>
            <w:r w:rsidRPr="00780F1D">
              <w:rPr>
                <w:rFonts w:eastAsia="Times New Roman" w:cs="Arial"/>
                <w:color w:val="000000"/>
              </w:rPr>
              <w:t xml:space="preserve"> rms</w:t>
            </w:r>
          </w:p>
        </w:tc>
        <w:tc>
          <w:tcPr>
            <w:tcW w:w="1325" w:type="dxa"/>
            <w:tcBorders>
              <w:top w:val="single" w:sz="2" w:space="0" w:color="000000"/>
              <w:left w:val="single" w:sz="2" w:space="0" w:color="000000"/>
              <w:bottom w:val="single" w:sz="2" w:space="0" w:color="000000"/>
              <w:right w:val="single" w:sz="2" w:space="0" w:color="000000"/>
            </w:tcBorders>
          </w:tcPr>
          <w:p w:rsidR="00404448" w:rsidRPr="00780F1D" w:rsidRDefault="00404448" w:rsidP="00404448">
            <w:pPr>
              <w:autoSpaceDE w:val="0"/>
              <w:autoSpaceDN w:val="0"/>
              <w:adjustRightInd w:val="0"/>
              <w:spacing w:after="0"/>
              <w:jc w:val="right"/>
              <w:rPr>
                <w:rFonts w:eastAsia="Times New Roman" w:cs="Arial"/>
                <w:color w:val="000000"/>
              </w:rPr>
            </w:pPr>
            <w:r w:rsidRPr="00780F1D">
              <w:rPr>
                <w:rFonts w:eastAsia="Times New Roman" w:cs="Arial"/>
                <w:color w:val="000000"/>
              </w:rPr>
              <w:t>(indirectly measured)</w:t>
            </w:r>
          </w:p>
        </w:tc>
      </w:tr>
      <w:tr w:rsidR="00404448" w:rsidRPr="00780F1D">
        <w:trPr>
          <w:trHeight w:val="290"/>
        </w:trPr>
        <w:tc>
          <w:tcPr>
            <w:tcW w:w="3074" w:type="dxa"/>
            <w:tcBorders>
              <w:top w:val="single" w:sz="2" w:space="0" w:color="000000"/>
              <w:left w:val="single" w:sz="2" w:space="0" w:color="000000"/>
              <w:bottom w:val="single" w:sz="2" w:space="0" w:color="000000"/>
              <w:right w:val="single" w:sz="2" w:space="0" w:color="000000"/>
            </w:tcBorders>
          </w:tcPr>
          <w:p w:rsidR="00404448" w:rsidRPr="00780F1D" w:rsidRDefault="00404448" w:rsidP="00404448">
            <w:pPr>
              <w:autoSpaceDE w:val="0"/>
              <w:autoSpaceDN w:val="0"/>
              <w:adjustRightInd w:val="0"/>
              <w:spacing w:after="0"/>
              <w:rPr>
                <w:rFonts w:eastAsia="Times New Roman" w:cs="Arial"/>
                <w:color w:val="000000"/>
              </w:rPr>
            </w:pPr>
            <w:r w:rsidRPr="00780F1D">
              <w:rPr>
                <w:rFonts w:eastAsia="Times New Roman" w:cs="Arial"/>
                <w:color w:val="000000"/>
              </w:rPr>
              <w:t>Asphere Centration (mm)</w:t>
            </w:r>
          </w:p>
        </w:tc>
        <w:tc>
          <w:tcPr>
            <w:tcW w:w="2271" w:type="dxa"/>
            <w:tcBorders>
              <w:top w:val="single" w:sz="2" w:space="0" w:color="000000"/>
              <w:left w:val="single" w:sz="2" w:space="0" w:color="000000"/>
              <w:bottom w:val="single" w:sz="2" w:space="0" w:color="000000"/>
              <w:right w:val="single" w:sz="2" w:space="0" w:color="000000"/>
            </w:tcBorders>
          </w:tcPr>
          <w:p w:rsidR="00404448" w:rsidRPr="00780F1D" w:rsidRDefault="00404448" w:rsidP="00404448">
            <w:pPr>
              <w:autoSpaceDE w:val="0"/>
              <w:autoSpaceDN w:val="0"/>
              <w:adjustRightInd w:val="0"/>
              <w:spacing w:after="0"/>
              <w:jc w:val="right"/>
              <w:rPr>
                <w:rFonts w:eastAsia="Times New Roman" w:cs="Arial"/>
                <w:color w:val="000000"/>
              </w:rPr>
            </w:pPr>
            <w:r w:rsidRPr="00780F1D">
              <w:rPr>
                <w:rFonts w:eastAsia="Times New Roman" w:cs="Arial"/>
                <w:color w:val="000000"/>
              </w:rPr>
              <w:t>zero</w:t>
            </w:r>
          </w:p>
        </w:tc>
        <w:tc>
          <w:tcPr>
            <w:tcW w:w="1418" w:type="dxa"/>
            <w:tcBorders>
              <w:top w:val="single" w:sz="2" w:space="0" w:color="000000"/>
              <w:left w:val="single" w:sz="2" w:space="0" w:color="000000"/>
              <w:bottom w:val="single" w:sz="2" w:space="0" w:color="000000"/>
              <w:right w:val="single" w:sz="2" w:space="0" w:color="000000"/>
            </w:tcBorders>
          </w:tcPr>
          <w:p w:rsidR="00404448" w:rsidRPr="00780F1D" w:rsidRDefault="00404448" w:rsidP="00404448">
            <w:pPr>
              <w:autoSpaceDE w:val="0"/>
              <w:autoSpaceDN w:val="0"/>
              <w:adjustRightInd w:val="0"/>
              <w:spacing w:after="0"/>
              <w:jc w:val="right"/>
              <w:rPr>
                <w:rFonts w:eastAsia="Times New Roman" w:cs="Arial"/>
                <w:color w:val="000000"/>
              </w:rPr>
            </w:pPr>
            <w:r w:rsidRPr="00780F1D">
              <w:rPr>
                <w:rFonts w:eastAsia="Times New Roman" w:cs="Arial"/>
                <w:color w:val="000000"/>
              </w:rPr>
              <w:t xml:space="preserve">± 0.05 </w:t>
            </w:r>
          </w:p>
        </w:tc>
        <w:tc>
          <w:tcPr>
            <w:tcW w:w="1325" w:type="dxa"/>
            <w:tcBorders>
              <w:top w:val="single" w:sz="2" w:space="0" w:color="000000"/>
              <w:left w:val="single" w:sz="2" w:space="0" w:color="000000"/>
              <w:bottom w:val="single" w:sz="2" w:space="0" w:color="000000"/>
              <w:right w:val="single" w:sz="2" w:space="0" w:color="000000"/>
            </w:tcBorders>
          </w:tcPr>
          <w:p w:rsidR="00404448" w:rsidRPr="00780F1D" w:rsidRDefault="00404448" w:rsidP="00404448">
            <w:pPr>
              <w:autoSpaceDE w:val="0"/>
              <w:autoSpaceDN w:val="0"/>
              <w:adjustRightInd w:val="0"/>
              <w:spacing w:after="0"/>
              <w:jc w:val="right"/>
              <w:rPr>
                <w:rFonts w:eastAsia="Times New Roman" w:cs="Arial"/>
                <w:color w:val="000000"/>
              </w:rPr>
            </w:pPr>
            <w:r w:rsidRPr="00780F1D">
              <w:rPr>
                <w:rFonts w:eastAsia="Times New Roman" w:cs="Arial"/>
                <w:color w:val="000000"/>
              </w:rPr>
              <w:t>0.05</w:t>
            </w:r>
          </w:p>
        </w:tc>
      </w:tr>
      <w:tr w:rsidR="00404448" w:rsidRPr="00780F1D">
        <w:trPr>
          <w:trHeight w:val="305"/>
        </w:trPr>
        <w:tc>
          <w:tcPr>
            <w:tcW w:w="3074" w:type="dxa"/>
            <w:tcBorders>
              <w:top w:val="single" w:sz="2" w:space="0" w:color="000000"/>
              <w:left w:val="single" w:sz="2" w:space="0" w:color="000000"/>
              <w:bottom w:val="single" w:sz="2" w:space="0" w:color="000000"/>
              <w:right w:val="single" w:sz="2" w:space="0" w:color="000000"/>
            </w:tcBorders>
          </w:tcPr>
          <w:p w:rsidR="00404448" w:rsidRPr="00780F1D" w:rsidRDefault="00404448" w:rsidP="00404448">
            <w:pPr>
              <w:autoSpaceDE w:val="0"/>
              <w:autoSpaceDN w:val="0"/>
              <w:adjustRightInd w:val="0"/>
              <w:spacing w:after="0"/>
              <w:rPr>
                <w:rFonts w:eastAsia="Times New Roman" w:cs="Arial"/>
                <w:color w:val="000000"/>
              </w:rPr>
            </w:pPr>
            <w:r w:rsidRPr="00780F1D">
              <w:rPr>
                <w:rFonts w:eastAsia="Times New Roman" w:cs="Arial"/>
                <w:color w:val="000000"/>
              </w:rPr>
              <w:t xml:space="preserve">Transmitted WFE (rms </w:t>
            </w:r>
            <w:r w:rsidRPr="00780F1D">
              <w:rPr>
                <w:rFonts w:ascii="Symbol" w:eastAsia="Times New Roman" w:hAnsi="Symbol" w:cs="Symbol"/>
                <w:color w:val="000000"/>
              </w:rPr>
              <w:t></w:t>
            </w:r>
            <w:r w:rsidRPr="00780F1D">
              <w:rPr>
                <w:rFonts w:eastAsia="Times New Roman" w:cs="Arial"/>
                <w:color w:val="000000"/>
              </w:rPr>
              <w:t>)</w:t>
            </w:r>
          </w:p>
        </w:tc>
        <w:tc>
          <w:tcPr>
            <w:tcW w:w="2271" w:type="dxa"/>
            <w:tcBorders>
              <w:top w:val="single" w:sz="2" w:space="0" w:color="000000"/>
              <w:left w:val="single" w:sz="2" w:space="0" w:color="000000"/>
              <w:bottom w:val="single" w:sz="2" w:space="0" w:color="000000"/>
              <w:right w:val="single" w:sz="2" w:space="0" w:color="000000"/>
            </w:tcBorders>
          </w:tcPr>
          <w:p w:rsidR="00404448" w:rsidRPr="00780F1D" w:rsidRDefault="00404448" w:rsidP="00404448">
            <w:pPr>
              <w:autoSpaceDE w:val="0"/>
              <w:autoSpaceDN w:val="0"/>
              <w:adjustRightInd w:val="0"/>
              <w:spacing w:after="0"/>
              <w:jc w:val="right"/>
              <w:rPr>
                <w:rFonts w:eastAsia="Times New Roman" w:cs="Arial"/>
                <w:color w:val="000000"/>
              </w:rPr>
            </w:pPr>
            <w:r w:rsidRPr="00780F1D">
              <w:rPr>
                <w:rFonts w:eastAsia="Times New Roman" w:cs="Arial"/>
                <w:color w:val="000000"/>
              </w:rPr>
              <w:t>zero, single-pass</w:t>
            </w:r>
          </w:p>
        </w:tc>
        <w:tc>
          <w:tcPr>
            <w:tcW w:w="1418" w:type="dxa"/>
            <w:tcBorders>
              <w:top w:val="single" w:sz="2" w:space="0" w:color="000000"/>
              <w:left w:val="single" w:sz="2" w:space="0" w:color="000000"/>
              <w:bottom w:val="single" w:sz="2" w:space="0" w:color="000000"/>
              <w:right w:val="single" w:sz="2" w:space="0" w:color="000000"/>
            </w:tcBorders>
          </w:tcPr>
          <w:p w:rsidR="00404448" w:rsidRPr="00780F1D" w:rsidRDefault="00404448" w:rsidP="00404448">
            <w:pPr>
              <w:autoSpaceDE w:val="0"/>
              <w:autoSpaceDN w:val="0"/>
              <w:adjustRightInd w:val="0"/>
              <w:spacing w:after="0"/>
              <w:jc w:val="right"/>
              <w:rPr>
                <w:rFonts w:eastAsia="Times New Roman" w:cs="Arial"/>
                <w:color w:val="000000"/>
              </w:rPr>
            </w:pPr>
            <w:r w:rsidRPr="00780F1D">
              <w:rPr>
                <w:rFonts w:eastAsia="Times New Roman" w:cs="Arial"/>
                <w:color w:val="000000"/>
              </w:rPr>
              <w:t>0.1</w:t>
            </w:r>
          </w:p>
        </w:tc>
        <w:tc>
          <w:tcPr>
            <w:tcW w:w="1325" w:type="dxa"/>
            <w:tcBorders>
              <w:top w:val="single" w:sz="2" w:space="0" w:color="000000"/>
              <w:left w:val="single" w:sz="2" w:space="0" w:color="000000"/>
              <w:bottom w:val="single" w:sz="2" w:space="0" w:color="000000"/>
              <w:right w:val="single" w:sz="2" w:space="0" w:color="000000"/>
            </w:tcBorders>
          </w:tcPr>
          <w:p w:rsidR="00404448" w:rsidRPr="00780F1D" w:rsidRDefault="00404448" w:rsidP="00404448">
            <w:pPr>
              <w:autoSpaceDE w:val="0"/>
              <w:autoSpaceDN w:val="0"/>
              <w:adjustRightInd w:val="0"/>
              <w:spacing w:after="0"/>
              <w:jc w:val="right"/>
              <w:rPr>
                <w:rFonts w:eastAsia="Times New Roman" w:cs="Arial"/>
                <w:color w:val="000000"/>
              </w:rPr>
            </w:pPr>
            <w:r w:rsidRPr="00780F1D">
              <w:rPr>
                <w:rFonts w:eastAsia="Times New Roman" w:cs="Arial"/>
                <w:color w:val="000000"/>
              </w:rPr>
              <w:t>0.056</w:t>
            </w:r>
          </w:p>
        </w:tc>
      </w:tr>
    </w:tbl>
    <w:p w:rsidR="00404448" w:rsidRDefault="00404448" w:rsidP="00404448"/>
    <w:p w:rsidR="00404448" w:rsidRPr="00780F1D" w:rsidRDefault="00404448" w:rsidP="00404448">
      <w:r>
        <w:t xml:space="preserve">The spectral properties of the SCo are shown in </w:t>
      </w:r>
      <w:r w:rsidR="004C78B9">
        <w:fldChar w:fldCharType="begin"/>
      </w:r>
      <w:r w:rsidR="00C903B6">
        <w:instrText xml:space="preserve"> REF _Ref202082878 \h </w:instrText>
      </w:r>
      <w:r w:rsidR="004C78B9">
        <w:fldChar w:fldCharType="separate"/>
      </w:r>
      <w:r w:rsidR="000D2EB4">
        <w:t xml:space="preserve">Figure </w:t>
      </w:r>
      <w:r w:rsidR="000D2EB4">
        <w:rPr>
          <w:noProof/>
        </w:rPr>
        <w:t>13</w:t>
      </w:r>
      <w:r w:rsidR="004C78B9">
        <w:fldChar w:fldCharType="end"/>
      </w:r>
      <w:r>
        <w:t>.</w:t>
      </w:r>
    </w:p>
    <w:p w:rsidR="00404448" w:rsidRDefault="00404448" w:rsidP="00404448">
      <w:pPr>
        <w:pStyle w:val="Heading3"/>
      </w:pPr>
      <w:bookmarkStart w:id="67" w:name="_Ref108780027"/>
      <w:bookmarkStart w:id="68" w:name="_Toc322942163"/>
      <w:r>
        <w:t>Field Flattener Lenses</w:t>
      </w:r>
      <w:bookmarkEnd w:id="67"/>
      <w:bookmarkEnd w:id="68"/>
    </w:p>
    <w:p w:rsidR="00404448" w:rsidRPr="00AE4180" w:rsidRDefault="00404448" w:rsidP="00404448">
      <w:r>
        <w:t>The following discussion is taken from Cameron (2008):</w:t>
      </w:r>
    </w:p>
    <w:p w:rsidR="00404448" w:rsidRPr="00E769C8" w:rsidRDefault="00404448" w:rsidP="00404448">
      <w:pPr>
        <w:rPr>
          <w:rFonts w:ascii="Times" w:hAnsi="Times"/>
          <w:i/>
        </w:rPr>
      </w:pPr>
      <w:r w:rsidRPr="00E769C8">
        <w:rPr>
          <w:rFonts w:ascii="Times" w:hAnsi="Times"/>
          <w:i/>
        </w:rPr>
        <w:t>The Field Flattener Lenses (FFL) are the highest quality grade sapphire available with no inclusions or micro-bubbles, free of light scatter and lattice distortion, with C-axis orthogonal to the optical face. The FFL convex radius is specified as R = 640.56/640.28 mm warm/operational 293/178 K and the center thickness is 3.500 +/- 0.025 mm.  The optical surfaces are better than 20 Angstroms rms.</w:t>
      </w:r>
    </w:p>
    <w:p w:rsidR="00404448" w:rsidRDefault="00404448" w:rsidP="00404448">
      <w:pPr>
        <w:rPr>
          <w:i/>
        </w:rPr>
      </w:pPr>
      <w:r w:rsidRPr="00E769C8">
        <w:rPr>
          <w:rFonts w:ascii="Times" w:hAnsi="Times"/>
          <w:i/>
        </w:rPr>
        <w:t>Thickness variations between the 21 sapphire FFL’s will produce module-to-module defocus, which is small compared to the 300 micron total defocus budget.  Fortunately, the fabricated FFL’s are all well within the thickness tolerance</w:t>
      </w:r>
      <w:r w:rsidR="00FD59A6">
        <w:rPr>
          <w:rFonts w:ascii="Times" w:hAnsi="Times"/>
          <w:i/>
        </w:rPr>
        <w:t>.</w:t>
      </w:r>
    </w:p>
    <w:p w:rsidR="00404448" w:rsidRDefault="00404448" w:rsidP="00404448">
      <w:pPr>
        <w:rPr>
          <w:rFonts w:eastAsia="Times New Roman" w:cs="Arial"/>
        </w:rPr>
      </w:pPr>
      <w:r>
        <w:t xml:space="preserve">The mechanical drawing of the FFL is shown in </w:t>
      </w:r>
      <w:r w:rsidR="004C78B9">
        <w:fldChar w:fldCharType="begin"/>
      </w:r>
      <w:r w:rsidR="00C903B6">
        <w:instrText xml:space="preserve"> REF _Ref209351813 \h </w:instrText>
      </w:r>
      <w:r w:rsidR="004C78B9">
        <w:fldChar w:fldCharType="separate"/>
      </w:r>
      <w:r w:rsidR="000D2EB4">
        <w:t xml:space="preserve">Figure </w:t>
      </w:r>
      <w:r w:rsidR="000D2EB4">
        <w:rPr>
          <w:noProof/>
        </w:rPr>
        <w:t>12</w:t>
      </w:r>
      <w:r w:rsidR="004C78B9">
        <w:fldChar w:fldCharType="end"/>
      </w:r>
      <w:r>
        <w:t>. The front surface is antireflection coated and the back surface has a bandpass filter (BPF) coating.  The bandpass was chosen to minimize the stellar variability in t</w:t>
      </w:r>
      <w:r w:rsidR="00FD59A6">
        <w:t>he UV, especially the Ca II H and</w:t>
      </w:r>
      <w:r>
        <w:t xml:space="preserve"> K lines, and minimize fringing in the IR.  The spectral properties of the FFL, including the BPF, are shown in </w:t>
      </w:r>
      <w:r w:rsidR="004C78B9">
        <w:fldChar w:fldCharType="begin"/>
      </w:r>
      <w:r w:rsidR="00C903B6">
        <w:instrText xml:space="preserve"> REF _Ref202082878 \h </w:instrText>
      </w:r>
      <w:r w:rsidR="004C78B9">
        <w:fldChar w:fldCharType="separate"/>
      </w:r>
      <w:r w:rsidR="000D2EB4">
        <w:t xml:space="preserve">Figure </w:t>
      </w:r>
      <w:r w:rsidR="000D2EB4">
        <w:rPr>
          <w:noProof/>
        </w:rPr>
        <w:t>13</w:t>
      </w:r>
      <w:r w:rsidR="004C78B9">
        <w:fldChar w:fldCharType="end"/>
      </w:r>
      <w:r>
        <w:t>.</w:t>
      </w:r>
    </w:p>
    <w:p w:rsidR="00404448" w:rsidRDefault="000518AB" w:rsidP="00404448">
      <w:pPr>
        <w:keepNext/>
      </w:pPr>
      <w:r>
        <w:rPr>
          <w:noProof/>
        </w:rPr>
        <w:drawing>
          <wp:inline distT="0" distB="0" distL="0" distR="0">
            <wp:extent cx="4791710" cy="4260215"/>
            <wp:effectExtent l="25400" t="0" r="889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a:srcRect/>
                    <a:stretch>
                      <a:fillRect/>
                    </a:stretch>
                  </pic:blipFill>
                  <pic:spPr bwMode="auto">
                    <a:xfrm>
                      <a:off x="0" y="0"/>
                      <a:ext cx="4791710" cy="4260215"/>
                    </a:xfrm>
                    <a:prstGeom prst="rect">
                      <a:avLst/>
                    </a:prstGeom>
                    <a:noFill/>
                    <a:ln w="9525">
                      <a:noFill/>
                      <a:miter lim="800000"/>
                      <a:headEnd/>
                      <a:tailEnd/>
                    </a:ln>
                  </pic:spPr>
                </pic:pic>
              </a:graphicData>
            </a:graphic>
          </wp:inline>
        </w:drawing>
      </w:r>
    </w:p>
    <w:p w:rsidR="00404448" w:rsidRPr="00AE4180" w:rsidRDefault="00404448" w:rsidP="00404448">
      <w:pPr>
        <w:pStyle w:val="Caption"/>
      </w:pPr>
      <w:bookmarkStart w:id="69" w:name="_Ref209351813"/>
      <w:bookmarkStart w:id="70" w:name="_Toc322942242"/>
      <w:r>
        <w:t xml:space="preserve">Figure </w:t>
      </w:r>
      <w:fldSimple w:instr=" SEQ Figure \* ARABIC ">
        <w:r w:rsidR="000D2EB4">
          <w:rPr>
            <w:noProof/>
          </w:rPr>
          <w:t>12</w:t>
        </w:r>
      </w:fldSimple>
      <w:bookmarkEnd w:id="69"/>
      <w:r>
        <w:rPr>
          <w:noProof/>
        </w:rPr>
        <w:t>:  Field Flattener Lens mechanical drawing, from Ball document 570659. Units in mm, with inches shown in brackets [].</w:t>
      </w:r>
      <w:bookmarkEnd w:id="70"/>
    </w:p>
    <w:p w:rsidR="00404448" w:rsidRPr="00394F88" w:rsidRDefault="00404448" w:rsidP="00404448">
      <w:pPr>
        <w:pStyle w:val="Heading2"/>
        <w:rPr>
          <w:sz w:val="22"/>
        </w:rPr>
      </w:pPr>
      <w:bookmarkStart w:id="71" w:name="_Ref108603911"/>
      <w:bookmarkStart w:id="72" w:name="_Ref108609332"/>
      <w:bookmarkStart w:id="73" w:name="_Ref108609376"/>
      <w:bookmarkStart w:id="74" w:name="_Toc322942164"/>
      <w:r w:rsidRPr="00394F88">
        <w:rPr>
          <w:sz w:val="22"/>
        </w:rPr>
        <w:t>Photometer Spectral Response</w:t>
      </w:r>
      <w:bookmarkEnd w:id="71"/>
      <w:bookmarkEnd w:id="72"/>
      <w:bookmarkEnd w:id="73"/>
      <w:bookmarkEnd w:id="74"/>
    </w:p>
    <w:p w:rsidR="00404448" w:rsidRDefault="00404448" w:rsidP="00404448">
      <w:r>
        <w:t xml:space="preserve">The Photometer Spectral Response is composed of the transmission of the SCA, PMA, the field </w:t>
      </w:r>
      <w:r w:rsidR="002D095B">
        <w:t>flattener</w:t>
      </w:r>
      <w:r>
        <w:t xml:space="preserve"> lens on each CCD module (which has a bandpass filter coating), and the quantum efficiency of the CCD.  This spectral response, and the color of the target, together define the observed “</w:t>
      </w:r>
      <w:r w:rsidR="004A3FBE" w:rsidRPr="004A3FBE">
        <w:rPr>
          <w:i/>
        </w:rPr>
        <w:t>Kepler</w:t>
      </w:r>
      <w:r>
        <w:t xml:space="preserve"> magnitude” of the target.  The spectral response of each element of the Photometer is shown</w:t>
      </w:r>
      <w:r w:rsidR="00973C3B">
        <w:t xml:space="preserve"> in</w:t>
      </w:r>
      <w:r>
        <w:t xml:space="preserve"> </w:t>
      </w:r>
      <w:r w:rsidR="004C78B9">
        <w:fldChar w:fldCharType="begin"/>
      </w:r>
      <w:r w:rsidR="00C903B6">
        <w:instrText xml:space="preserve"> REF _Ref202082878 \h </w:instrText>
      </w:r>
      <w:r w:rsidR="004C78B9">
        <w:fldChar w:fldCharType="separate"/>
      </w:r>
      <w:r w:rsidR="000D2EB4">
        <w:t xml:space="preserve">Figure </w:t>
      </w:r>
      <w:r w:rsidR="000D2EB4">
        <w:rPr>
          <w:noProof/>
        </w:rPr>
        <w:t>13</w:t>
      </w:r>
      <w:r w:rsidR="004C78B9">
        <w:fldChar w:fldCharType="end"/>
      </w:r>
      <w:r>
        <w:t>, and the combined transmission, including CCD quantum efficiency</w:t>
      </w:r>
      <w:r w:rsidR="00D43834">
        <w:t xml:space="preserve"> for channel 11.2</w:t>
      </w:r>
      <w:r>
        <w:t xml:space="preserve">, is shown in </w:t>
      </w:r>
      <w:r w:rsidR="004C78B9">
        <w:fldChar w:fldCharType="begin"/>
      </w:r>
      <w:r w:rsidR="00C903B6">
        <w:instrText xml:space="preserve"> REF _Ref108607140 \h </w:instrText>
      </w:r>
      <w:r w:rsidR="004C78B9">
        <w:fldChar w:fldCharType="separate"/>
      </w:r>
      <w:r w:rsidR="000D2EB4">
        <w:t xml:space="preserve">Table </w:t>
      </w:r>
      <w:r w:rsidR="000D2EB4">
        <w:rPr>
          <w:noProof/>
        </w:rPr>
        <w:t>5</w:t>
      </w:r>
      <w:r w:rsidR="004C78B9">
        <w:fldChar w:fldCharType="end"/>
      </w:r>
      <w:r>
        <w:t xml:space="preserve">. The wavelength cutoffs are critical for </w:t>
      </w:r>
      <w:r w:rsidR="004A3FBE" w:rsidRPr="004A3FBE">
        <w:rPr>
          <w:i/>
        </w:rPr>
        <w:t>Kepler</w:t>
      </w:r>
      <w:r>
        <w:t>’s transit detection science, as they exclude time-variable spectral lines commonly found in the spectra of solar-like stars.</w:t>
      </w:r>
      <w:r w:rsidR="00FD1583">
        <w:t xml:space="preserve">  The spectral response for each channel is given in the spectral response model delivered to MAST</w:t>
      </w:r>
      <w:r w:rsidR="00FD59A6">
        <w:t xml:space="preserve"> (KAM §2.3.5.19)</w:t>
      </w:r>
      <w:r w:rsidR="00FD1583">
        <w:t>.</w:t>
      </w:r>
    </w:p>
    <w:p w:rsidR="00404448" w:rsidRDefault="000518AB" w:rsidP="00404448">
      <w:pPr>
        <w:keepNext/>
      </w:pPr>
      <w:r>
        <w:rPr>
          <w:noProof/>
        </w:rPr>
        <w:drawing>
          <wp:inline distT="0" distB="0" distL="0" distR="0">
            <wp:extent cx="5939790" cy="416115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a:srcRect/>
                    <a:stretch>
                      <a:fillRect/>
                    </a:stretch>
                  </pic:blipFill>
                  <pic:spPr bwMode="auto">
                    <a:xfrm>
                      <a:off x="0" y="0"/>
                      <a:ext cx="5939790" cy="4161155"/>
                    </a:xfrm>
                    <a:prstGeom prst="rect">
                      <a:avLst/>
                    </a:prstGeom>
                    <a:noFill/>
                    <a:ln w="9525">
                      <a:noFill/>
                      <a:miter lim="800000"/>
                      <a:headEnd/>
                      <a:tailEnd/>
                    </a:ln>
                  </pic:spPr>
                </pic:pic>
              </a:graphicData>
            </a:graphic>
          </wp:inline>
        </w:drawing>
      </w:r>
      <w:r w:rsidR="00404448">
        <w:t xml:space="preserve"> </w:t>
      </w:r>
    </w:p>
    <w:p w:rsidR="00404448" w:rsidRDefault="00404448" w:rsidP="00404448">
      <w:pPr>
        <w:pStyle w:val="Caption"/>
        <w:outlineLvl w:val="0"/>
      </w:pPr>
      <w:bookmarkStart w:id="75" w:name="_Ref202082878"/>
      <w:bookmarkStart w:id="76" w:name="_Ref209851545"/>
      <w:bookmarkStart w:id="77" w:name="_Toc322942243"/>
      <w:r>
        <w:t xml:space="preserve">Figure </w:t>
      </w:r>
      <w:fldSimple w:instr=" SEQ Figure \* ARABIC ">
        <w:r w:rsidR="000D2EB4">
          <w:rPr>
            <w:noProof/>
          </w:rPr>
          <w:t>13</w:t>
        </w:r>
      </w:fldSimple>
      <w:bookmarkEnd w:id="75"/>
      <w:r>
        <w:t>:  Photometer Spectral Response, from Bachtell &amp; Peters (</w:t>
      </w:r>
      <w:r w:rsidRPr="00D21559">
        <w:t>2008</w:t>
      </w:r>
      <w:r>
        <w:t>)</w:t>
      </w:r>
      <w:bookmarkEnd w:id="76"/>
      <w:r w:rsidR="001602D4">
        <w:t>, for channel 11.2.</w:t>
      </w:r>
      <w:bookmarkEnd w:id="77"/>
    </w:p>
    <w:p w:rsidR="00404448" w:rsidRDefault="00404448" w:rsidP="00404448">
      <w:pPr>
        <w:pStyle w:val="Caption"/>
        <w:keepNext/>
      </w:pPr>
      <w:bookmarkStart w:id="78" w:name="_Ref108607140"/>
      <w:bookmarkStart w:id="79" w:name="_Toc322942284"/>
      <w:r>
        <w:t xml:space="preserve">Table </w:t>
      </w:r>
      <w:fldSimple w:instr=" SEQ Table \* ARABIC ">
        <w:r w:rsidR="000D2EB4">
          <w:rPr>
            <w:noProof/>
          </w:rPr>
          <w:t>5</w:t>
        </w:r>
      </w:fldSimple>
      <w:bookmarkEnd w:id="78"/>
      <w:r>
        <w:t xml:space="preserve">:  Total Spectral Response of </w:t>
      </w:r>
      <w:r w:rsidR="004A3FBE" w:rsidRPr="004A3FBE">
        <w:rPr>
          <w:i/>
        </w:rPr>
        <w:t>Kepler</w:t>
      </w:r>
      <w:r w:rsidR="001602D4">
        <w:t>, including CCD response for channel 11.2</w:t>
      </w:r>
      <w:r>
        <w:t>.  The column labeled ‘Absolute’ is to be multiplied by the obscuration and vignetting factors (</w:t>
      </w:r>
      <w:r w:rsidR="00E607E6">
        <w:t>§</w:t>
      </w:r>
      <w:r w:rsidR="004C78B9">
        <w:fldChar w:fldCharType="begin"/>
      </w:r>
      <w:r w:rsidR="00C903B6">
        <w:instrText xml:space="preserve"> REF _Ref106253420 \r \h </w:instrText>
      </w:r>
      <w:r w:rsidR="004C78B9">
        <w:fldChar w:fldCharType="separate"/>
      </w:r>
      <w:r w:rsidR="000D2EB4">
        <w:t>3.6</w:t>
      </w:r>
      <w:r w:rsidR="004C78B9">
        <w:fldChar w:fldCharType="end"/>
      </w:r>
      <w:r>
        <w:t xml:space="preserve">) at the target location to obtain the effective area of </w:t>
      </w:r>
      <w:r w:rsidR="004A3FBE" w:rsidRPr="004A3FBE">
        <w:rPr>
          <w:i/>
        </w:rPr>
        <w:t>Kepler</w:t>
      </w:r>
      <w:r>
        <w:t xml:space="preserve"> at that wavelength.  The column labeled ‘Relative’ is normalized to 1.00 at the wavelength of ma</w:t>
      </w:r>
      <w:r w:rsidR="001602D4">
        <w:t>ximum spectral response, 575 nm</w:t>
      </w:r>
      <w:r>
        <w:t>.</w:t>
      </w:r>
      <w:r w:rsidR="001602D4">
        <w:t xml:space="preserve">  Results for al</w:t>
      </w:r>
      <w:r w:rsidR="00595141">
        <w:t>l channels sampled every 1 nm are given by</w:t>
      </w:r>
      <w:r w:rsidR="001602D4">
        <w:t xml:space="preserve"> the spectral response model delivered to MAST.</w:t>
      </w:r>
      <w:bookmarkEnd w:id="79"/>
    </w:p>
    <w:tbl>
      <w:tblPr>
        <w:tblW w:w="4520" w:type="dxa"/>
        <w:tblInd w:w="108" w:type="dxa"/>
        <w:tblLook w:val="0000"/>
      </w:tblPr>
      <w:tblGrid>
        <w:gridCol w:w="1300"/>
        <w:gridCol w:w="1860"/>
        <w:gridCol w:w="1360"/>
      </w:tblGrid>
      <w:tr w:rsidR="00404448" w:rsidRPr="00A06F45">
        <w:trPr>
          <w:trHeight w:val="260"/>
          <w:tblHeader/>
        </w:trPr>
        <w:tc>
          <w:tcPr>
            <w:tcW w:w="1300" w:type="dxa"/>
            <w:tcBorders>
              <w:top w:val="nil"/>
              <w:left w:val="nil"/>
              <w:bottom w:val="nil"/>
              <w:right w:val="nil"/>
            </w:tcBorders>
            <w:shd w:val="clear" w:color="auto" w:fill="auto"/>
            <w:noWrap/>
            <w:vAlign w:val="bottom"/>
          </w:tcPr>
          <w:p w:rsidR="00404448" w:rsidRDefault="00404448" w:rsidP="00404448">
            <w:pPr>
              <w:spacing w:after="0"/>
            </w:pPr>
          </w:p>
        </w:tc>
        <w:tc>
          <w:tcPr>
            <w:tcW w:w="1860" w:type="dxa"/>
            <w:tcBorders>
              <w:top w:val="nil"/>
              <w:left w:val="nil"/>
              <w:bottom w:val="nil"/>
              <w:right w:val="nil"/>
            </w:tcBorders>
            <w:shd w:val="clear" w:color="auto" w:fill="auto"/>
            <w:noWrap/>
            <w:vAlign w:val="bottom"/>
          </w:tcPr>
          <w:p w:rsidR="00404448" w:rsidRDefault="00404448" w:rsidP="00404448">
            <w:pPr>
              <w:spacing w:after="0"/>
              <w:jc w:val="center"/>
            </w:pPr>
            <w:r>
              <w:t>Spectral</w:t>
            </w:r>
          </w:p>
        </w:tc>
        <w:tc>
          <w:tcPr>
            <w:tcW w:w="1360" w:type="dxa"/>
            <w:tcBorders>
              <w:top w:val="nil"/>
              <w:left w:val="nil"/>
              <w:bottom w:val="nil"/>
              <w:right w:val="nil"/>
            </w:tcBorders>
            <w:shd w:val="clear" w:color="auto" w:fill="auto"/>
            <w:noWrap/>
            <w:vAlign w:val="bottom"/>
          </w:tcPr>
          <w:p w:rsidR="00404448" w:rsidRDefault="00404448" w:rsidP="00404448">
            <w:pPr>
              <w:spacing w:after="0"/>
            </w:pPr>
            <w:r>
              <w:t>Response</w:t>
            </w:r>
          </w:p>
        </w:tc>
      </w:tr>
      <w:tr w:rsidR="00404448" w:rsidRPr="00A06F45">
        <w:trPr>
          <w:trHeight w:val="240"/>
          <w:tblHeader/>
        </w:trPr>
        <w:tc>
          <w:tcPr>
            <w:tcW w:w="1300" w:type="dxa"/>
            <w:tcBorders>
              <w:top w:val="nil"/>
              <w:left w:val="nil"/>
              <w:bottom w:val="nil"/>
              <w:right w:val="nil"/>
            </w:tcBorders>
            <w:shd w:val="clear" w:color="auto" w:fill="auto"/>
            <w:noWrap/>
            <w:vAlign w:val="bottom"/>
          </w:tcPr>
          <w:p w:rsidR="00404448" w:rsidRDefault="00404448" w:rsidP="00404448">
            <w:pPr>
              <w:spacing w:after="0"/>
              <w:jc w:val="center"/>
            </w:pPr>
            <w:r>
              <w:t>lambda (nm)</w:t>
            </w:r>
          </w:p>
        </w:tc>
        <w:tc>
          <w:tcPr>
            <w:tcW w:w="1860" w:type="dxa"/>
            <w:tcBorders>
              <w:top w:val="nil"/>
              <w:left w:val="nil"/>
              <w:bottom w:val="nil"/>
              <w:right w:val="nil"/>
            </w:tcBorders>
            <w:shd w:val="clear" w:color="auto" w:fill="auto"/>
            <w:noWrap/>
            <w:vAlign w:val="bottom"/>
          </w:tcPr>
          <w:p w:rsidR="00404448" w:rsidRDefault="00404448" w:rsidP="00404448">
            <w:pPr>
              <w:spacing w:after="0"/>
              <w:jc w:val="center"/>
            </w:pPr>
            <w:r>
              <w:t>Absolute</w:t>
            </w:r>
          </w:p>
        </w:tc>
        <w:tc>
          <w:tcPr>
            <w:tcW w:w="1360" w:type="dxa"/>
            <w:tcBorders>
              <w:top w:val="nil"/>
              <w:left w:val="nil"/>
              <w:bottom w:val="nil"/>
              <w:right w:val="nil"/>
            </w:tcBorders>
            <w:shd w:val="clear" w:color="auto" w:fill="auto"/>
            <w:noWrap/>
            <w:vAlign w:val="bottom"/>
          </w:tcPr>
          <w:p w:rsidR="00404448" w:rsidRDefault="00404448" w:rsidP="00404448">
            <w:pPr>
              <w:spacing w:after="0"/>
            </w:pPr>
            <w:r>
              <w:t>Relative</w:t>
            </w:r>
          </w:p>
        </w:tc>
      </w:tr>
      <w:tr w:rsidR="00404448" w:rsidRPr="00A06F45">
        <w:trPr>
          <w:trHeight w:val="240"/>
        </w:trPr>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Default="00404448" w:rsidP="00404448">
            <w:pPr>
              <w:spacing w:after="0"/>
              <w:jc w:val="center"/>
            </w:pPr>
            <w:r>
              <w:t>350</w:t>
            </w:r>
          </w:p>
        </w:tc>
        <w:tc>
          <w:tcPr>
            <w:tcW w:w="18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Default="00404448" w:rsidP="00404448">
            <w:pPr>
              <w:spacing w:after="0"/>
              <w:jc w:val="center"/>
            </w:pPr>
            <w:r>
              <w:t>1.58E-04</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Default="00404448" w:rsidP="00404448">
            <w:pPr>
              <w:spacing w:after="0"/>
              <w:jc w:val="right"/>
            </w:pPr>
            <w:r>
              <w:t>2.22E-04</w:t>
            </w:r>
          </w:p>
        </w:tc>
      </w:tr>
      <w:tr w:rsidR="00404448" w:rsidRPr="00A06F45">
        <w:trPr>
          <w:trHeight w:val="240"/>
        </w:trPr>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Default="00404448" w:rsidP="00404448">
            <w:pPr>
              <w:spacing w:after="0"/>
              <w:jc w:val="center"/>
            </w:pPr>
            <w:r>
              <w:t>375</w:t>
            </w:r>
          </w:p>
        </w:tc>
        <w:tc>
          <w:tcPr>
            <w:tcW w:w="18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Default="00404448" w:rsidP="00404448">
            <w:pPr>
              <w:spacing w:after="0"/>
              <w:jc w:val="center"/>
            </w:pPr>
            <w:r>
              <w:t>1.00E-03</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Default="00404448" w:rsidP="00404448">
            <w:pPr>
              <w:spacing w:after="0"/>
              <w:jc w:val="right"/>
            </w:pPr>
            <w:r>
              <w:t>1.40E-03</w:t>
            </w:r>
          </w:p>
        </w:tc>
      </w:tr>
      <w:tr w:rsidR="00404448" w:rsidRPr="00A06F45">
        <w:trPr>
          <w:trHeight w:val="240"/>
        </w:trPr>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Default="00404448" w:rsidP="00404448">
            <w:pPr>
              <w:spacing w:after="0"/>
              <w:jc w:val="center"/>
            </w:pPr>
            <w:r>
              <w:t>400</w:t>
            </w:r>
          </w:p>
        </w:tc>
        <w:tc>
          <w:tcPr>
            <w:tcW w:w="18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Default="00404448" w:rsidP="00404448">
            <w:pPr>
              <w:spacing w:after="0"/>
              <w:jc w:val="center"/>
            </w:pPr>
            <w:r>
              <w:t>3.95E-04</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Default="00404448" w:rsidP="00404448">
            <w:pPr>
              <w:spacing w:after="0"/>
              <w:jc w:val="right"/>
            </w:pPr>
            <w:r>
              <w:t>5.53E-04</w:t>
            </w:r>
          </w:p>
        </w:tc>
      </w:tr>
      <w:tr w:rsidR="00404448" w:rsidRPr="00A06F45">
        <w:trPr>
          <w:trHeight w:val="240"/>
        </w:trPr>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Default="00404448" w:rsidP="00404448">
            <w:pPr>
              <w:spacing w:after="0"/>
              <w:jc w:val="center"/>
            </w:pPr>
            <w:r>
              <w:t>425</w:t>
            </w:r>
          </w:p>
        </w:tc>
        <w:tc>
          <w:tcPr>
            <w:tcW w:w="18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Default="00404448" w:rsidP="00404448">
            <w:pPr>
              <w:spacing w:after="0"/>
              <w:jc w:val="center"/>
            </w:pPr>
            <w:r>
              <w:t>5.63E-02</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Default="00404448" w:rsidP="00404448">
            <w:pPr>
              <w:spacing w:after="0"/>
              <w:jc w:val="right"/>
            </w:pPr>
            <w:r>
              <w:t>7.88E-02</w:t>
            </w:r>
          </w:p>
        </w:tc>
      </w:tr>
      <w:tr w:rsidR="00404448" w:rsidRPr="00A06F45">
        <w:trPr>
          <w:trHeight w:val="240"/>
        </w:trPr>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Default="00404448" w:rsidP="00404448">
            <w:pPr>
              <w:spacing w:after="0"/>
              <w:jc w:val="center"/>
            </w:pPr>
            <w:r>
              <w:t>450</w:t>
            </w:r>
          </w:p>
        </w:tc>
        <w:tc>
          <w:tcPr>
            <w:tcW w:w="18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Default="00404448" w:rsidP="00404448">
            <w:pPr>
              <w:spacing w:after="0"/>
              <w:jc w:val="center"/>
            </w:pPr>
            <w:r>
              <w:t>4.65E-01</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Default="00404448" w:rsidP="00404448">
            <w:pPr>
              <w:spacing w:after="0"/>
              <w:jc w:val="right"/>
            </w:pPr>
            <w:r>
              <w:t>6.50E-01</w:t>
            </w:r>
          </w:p>
        </w:tc>
      </w:tr>
      <w:tr w:rsidR="00404448" w:rsidRPr="00A06F45">
        <w:trPr>
          <w:trHeight w:val="240"/>
        </w:trPr>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Default="00404448" w:rsidP="00404448">
            <w:pPr>
              <w:spacing w:after="0"/>
              <w:jc w:val="center"/>
            </w:pPr>
            <w:r>
              <w:t>475</w:t>
            </w:r>
          </w:p>
        </w:tc>
        <w:tc>
          <w:tcPr>
            <w:tcW w:w="18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Default="00404448" w:rsidP="00404448">
            <w:pPr>
              <w:spacing w:after="0"/>
              <w:jc w:val="center"/>
            </w:pPr>
            <w:r>
              <w:t>5.36E-01</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Default="00404448" w:rsidP="00404448">
            <w:pPr>
              <w:spacing w:after="0"/>
              <w:jc w:val="right"/>
            </w:pPr>
            <w:r>
              <w:t>7.50E-01</w:t>
            </w:r>
          </w:p>
        </w:tc>
      </w:tr>
      <w:tr w:rsidR="00404448" w:rsidRPr="00A06F45">
        <w:trPr>
          <w:trHeight w:val="240"/>
        </w:trPr>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Default="00404448" w:rsidP="00404448">
            <w:pPr>
              <w:spacing w:after="0"/>
              <w:jc w:val="center"/>
            </w:pPr>
            <w:r>
              <w:t>500</w:t>
            </w:r>
          </w:p>
        </w:tc>
        <w:tc>
          <w:tcPr>
            <w:tcW w:w="18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Default="00404448" w:rsidP="00404448">
            <w:pPr>
              <w:spacing w:after="0"/>
              <w:jc w:val="center"/>
            </w:pPr>
            <w:r>
              <w:t>6.24E-01</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Default="00404448" w:rsidP="00404448">
            <w:pPr>
              <w:spacing w:after="0"/>
              <w:jc w:val="right"/>
            </w:pPr>
            <w:r>
              <w:t>8.73E-01</w:t>
            </w:r>
          </w:p>
        </w:tc>
      </w:tr>
      <w:tr w:rsidR="00404448" w:rsidRPr="00A06F45">
        <w:trPr>
          <w:trHeight w:val="240"/>
        </w:trPr>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Default="00404448" w:rsidP="00404448">
            <w:pPr>
              <w:spacing w:after="0"/>
              <w:jc w:val="center"/>
            </w:pPr>
            <w:r>
              <w:t>525</w:t>
            </w:r>
          </w:p>
        </w:tc>
        <w:tc>
          <w:tcPr>
            <w:tcW w:w="18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Default="00404448" w:rsidP="00404448">
            <w:pPr>
              <w:spacing w:after="0"/>
              <w:jc w:val="center"/>
            </w:pPr>
            <w:r>
              <w:t>6.63E-01</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Default="00404448" w:rsidP="00404448">
            <w:pPr>
              <w:spacing w:after="0"/>
              <w:jc w:val="right"/>
            </w:pPr>
            <w:r>
              <w:t>9.28E-01</w:t>
            </w:r>
          </w:p>
        </w:tc>
      </w:tr>
      <w:tr w:rsidR="00404448" w:rsidRPr="00A06F45">
        <w:trPr>
          <w:trHeight w:val="240"/>
        </w:trPr>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Default="00404448" w:rsidP="00404448">
            <w:pPr>
              <w:spacing w:after="0"/>
              <w:jc w:val="center"/>
            </w:pPr>
            <w:r>
              <w:t>550</w:t>
            </w:r>
          </w:p>
        </w:tc>
        <w:tc>
          <w:tcPr>
            <w:tcW w:w="18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Default="00404448" w:rsidP="00404448">
            <w:pPr>
              <w:spacing w:after="0"/>
              <w:jc w:val="center"/>
            </w:pPr>
            <w:r>
              <w:t>6.81E-01</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Default="00404448" w:rsidP="00404448">
            <w:pPr>
              <w:spacing w:after="0"/>
              <w:jc w:val="right"/>
            </w:pPr>
            <w:r>
              <w:t>9.53E-01</w:t>
            </w:r>
          </w:p>
        </w:tc>
      </w:tr>
      <w:tr w:rsidR="00404448" w:rsidRPr="00A06F45">
        <w:trPr>
          <w:trHeight w:val="240"/>
        </w:trPr>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Default="00404448" w:rsidP="00404448">
            <w:pPr>
              <w:spacing w:after="0"/>
              <w:jc w:val="center"/>
            </w:pPr>
            <w:r>
              <w:t>575</w:t>
            </w:r>
          </w:p>
        </w:tc>
        <w:tc>
          <w:tcPr>
            <w:tcW w:w="18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Default="00404448" w:rsidP="00404448">
            <w:pPr>
              <w:spacing w:after="0"/>
              <w:jc w:val="center"/>
            </w:pPr>
            <w:r>
              <w:t>7.15E-01</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Default="00404448" w:rsidP="00404448">
            <w:pPr>
              <w:spacing w:after="0"/>
              <w:jc w:val="right"/>
            </w:pPr>
            <w:r>
              <w:t>1.00E+00</w:t>
            </w:r>
          </w:p>
        </w:tc>
      </w:tr>
      <w:tr w:rsidR="00404448" w:rsidRPr="00A06F45">
        <w:trPr>
          <w:trHeight w:val="240"/>
        </w:trPr>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Default="00404448" w:rsidP="00404448">
            <w:pPr>
              <w:spacing w:after="0"/>
              <w:jc w:val="center"/>
            </w:pPr>
            <w:r>
              <w:t>600</w:t>
            </w:r>
          </w:p>
        </w:tc>
        <w:tc>
          <w:tcPr>
            <w:tcW w:w="18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Default="00404448" w:rsidP="00404448">
            <w:pPr>
              <w:spacing w:after="0"/>
              <w:jc w:val="center"/>
            </w:pPr>
            <w:r>
              <w:t>7.13E-01</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Default="00404448" w:rsidP="00404448">
            <w:pPr>
              <w:spacing w:after="0"/>
              <w:jc w:val="right"/>
            </w:pPr>
            <w:r>
              <w:t>9.99E-01</w:t>
            </w:r>
          </w:p>
        </w:tc>
      </w:tr>
      <w:tr w:rsidR="00404448" w:rsidRPr="00A06F45">
        <w:trPr>
          <w:trHeight w:val="240"/>
        </w:trPr>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Default="00404448" w:rsidP="00404448">
            <w:pPr>
              <w:spacing w:after="0"/>
              <w:jc w:val="center"/>
            </w:pPr>
            <w:r>
              <w:t>625</w:t>
            </w:r>
          </w:p>
        </w:tc>
        <w:tc>
          <w:tcPr>
            <w:tcW w:w="18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Default="00404448" w:rsidP="00404448">
            <w:pPr>
              <w:spacing w:after="0"/>
              <w:jc w:val="center"/>
            </w:pPr>
            <w:r>
              <w:t>6.96E-01</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Default="00404448" w:rsidP="00404448">
            <w:pPr>
              <w:spacing w:after="0"/>
              <w:jc w:val="right"/>
            </w:pPr>
            <w:r>
              <w:t>9.75E-01</w:t>
            </w:r>
          </w:p>
        </w:tc>
      </w:tr>
      <w:tr w:rsidR="00404448" w:rsidRPr="00A06F45">
        <w:trPr>
          <w:trHeight w:val="240"/>
        </w:trPr>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Default="00404448" w:rsidP="00404448">
            <w:pPr>
              <w:spacing w:after="0"/>
              <w:jc w:val="center"/>
            </w:pPr>
            <w:r>
              <w:t>650</w:t>
            </w:r>
          </w:p>
        </w:tc>
        <w:tc>
          <w:tcPr>
            <w:tcW w:w="18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Default="00404448" w:rsidP="00404448">
            <w:pPr>
              <w:spacing w:after="0"/>
              <w:jc w:val="center"/>
            </w:pPr>
            <w:r>
              <w:t>6.70E-01</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Default="00404448" w:rsidP="00404448">
            <w:pPr>
              <w:spacing w:after="0"/>
              <w:jc w:val="right"/>
            </w:pPr>
            <w:r>
              <w:t>9.38E-01</w:t>
            </w:r>
          </w:p>
        </w:tc>
      </w:tr>
      <w:tr w:rsidR="00404448" w:rsidRPr="00A06F45">
        <w:trPr>
          <w:trHeight w:val="240"/>
        </w:trPr>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Default="00404448" w:rsidP="00404448">
            <w:pPr>
              <w:spacing w:after="0"/>
              <w:jc w:val="center"/>
            </w:pPr>
            <w:r>
              <w:t>675</w:t>
            </w:r>
          </w:p>
        </w:tc>
        <w:tc>
          <w:tcPr>
            <w:tcW w:w="18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Default="00404448" w:rsidP="00404448">
            <w:pPr>
              <w:spacing w:after="0"/>
              <w:jc w:val="center"/>
            </w:pPr>
            <w:r>
              <w:t>6.49E-01</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Default="00404448" w:rsidP="00404448">
            <w:pPr>
              <w:spacing w:after="0"/>
              <w:jc w:val="right"/>
            </w:pPr>
            <w:r>
              <w:t>9.08E-01</w:t>
            </w:r>
          </w:p>
        </w:tc>
      </w:tr>
      <w:tr w:rsidR="00404448" w:rsidRPr="00A06F45">
        <w:trPr>
          <w:trHeight w:val="240"/>
        </w:trPr>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Default="00404448" w:rsidP="00404448">
            <w:pPr>
              <w:spacing w:after="0"/>
              <w:jc w:val="center"/>
            </w:pPr>
            <w:r>
              <w:t>700</w:t>
            </w:r>
          </w:p>
        </w:tc>
        <w:tc>
          <w:tcPr>
            <w:tcW w:w="18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Default="00404448" w:rsidP="00404448">
            <w:pPr>
              <w:spacing w:after="0"/>
              <w:jc w:val="center"/>
            </w:pPr>
            <w:r>
              <w:t>6.16E-01</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Default="00404448" w:rsidP="00404448">
            <w:pPr>
              <w:spacing w:after="0"/>
              <w:jc w:val="right"/>
            </w:pPr>
            <w:r>
              <w:t>8.62E-01</w:t>
            </w:r>
          </w:p>
        </w:tc>
      </w:tr>
      <w:tr w:rsidR="00404448" w:rsidRPr="00A06F45">
        <w:trPr>
          <w:trHeight w:val="240"/>
        </w:trPr>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Default="00404448" w:rsidP="00404448">
            <w:pPr>
              <w:spacing w:after="0"/>
              <w:jc w:val="center"/>
            </w:pPr>
            <w:r>
              <w:t>725</w:t>
            </w:r>
          </w:p>
        </w:tc>
        <w:tc>
          <w:tcPr>
            <w:tcW w:w="18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Default="00404448" w:rsidP="00404448">
            <w:pPr>
              <w:spacing w:after="0"/>
              <w:jc w:val="center"/>
            </w:pPr>
            <w:r>
              <w:t>5.74E-01</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Default="00404448" w:rsidP="00404448">
            <w:pPr>
              <w:spacing w:after="0"/>
              <w:jc w:val="right"/>
            </w:pPr>
            <w:r>
              <w:t>8.03E-01</w:t>
            </w:r>
          </w:p>
        </w:tc>
      </w:tr>
      <w:tr w:rsidR="00404448" w:rsidRPr="00A06F45">
        <w:trPr>
          <w:trHeight w:val="240"/>
        </w:trPr>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Default="00404448" w:rsidP="00404448">
            <w:pPr>
              <w:spacing w:after="0"/>
              <w:jc w:val="center"/>
            </w:pPr>
            <w:r>
              <w:t>750</w:t>
            </w:r>
          </w:p>
        </w:tc>
        <w:tc>
          <w:tcPr>
            <w:tcW w:w="18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Default="00404448" w:rsidP="00404448">
            <w:pPr>
              <w:spacing w:after="0"/>
              <w:jc w:val="center"/>
            </w:pPr>
            <w:r>
              <w:t>5.41E-01</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Default="00404448" w:rsidP="00404448">
            <w:pPr>
              <w:spacing w:after="0"/>
              <w:jc w:val="right"/>
            </w:pPr>
            <w:r>
              <w:t>7.57E-01</w:t>
            </w:r>
          </w:p>
        </w:tc>
      </w:tr>
      <w:tr w:rsidR="00404448" w:rsidRPr="00A06F45">
        <w:trPr>
          <w:trHeight w:val="240"/>
        </w:trPr>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Default="00404448" w:rsidP="00404448">
            <w:pPr>
              <w:spacing w:after="0"/>
              <w:jc w:val="center"/>
            </w:pPr>
            <w:r>
              <w:t>775</w:t>
            </w:r>
          </w:p>
        </w:tc>
        <w:tc>
          <w:tcPr>
            <w:tcW w:w="18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Default="00404448" w:rsidP="00404448">
            <w:pPr>
              <w:spacing w:after="0"/>
              <w:jc w:val="center"/>
            </w:pPr>
            <w:r>
              <w:t>4.90E-01</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Default="00404448" w:rsidP="00404448">
            <w:pPr>
              <w:spacing w:after="0"/>
              <w:jc w:val="right"/>
            </w:pPr>
            <w:r>
              <w:t>6.86E-01</w:t>
            </w:r>
          </w:p>
        </w:tc>
      </w:tr>
      <w:tr w:rsidR="00404448" w:rsidRPr="00A06F45">
        <w:trPr>
          <w:trHeight w:val="240"/>
        </w:trPr>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Default="00404448" w:rsidP="00404448">
            <w:pPr>
              <w:spacing w:after="0"/>
              <w:jc w:val="center"/>
            </w:pPr>
            <w:r>
              <w:t>800</w:t>
            </w:r>
          </w:p>
        </w:tc>
        <w:tc>
          <w:tcPr>
            <w:tcW w:w="18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Default="00404448" w:rsidP="00404448">
            <w:pPr>
              <w:spacing w:after="0"/>
              <w:jc w:val="center"/>
            </w:pPr>
            <w:r>
              <w:t>4.68E-01</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Default="00404448" w:rsidP="00404448">
            <w:pPr>
              <w:spacing w:after="0"/>
              <w:jc w:val="right"/>
            </w:pPr>
            <w:r>
              <w:t>6.55E-01</w:t>
            </w:r>
          </w:p>
        </w:tc>
      </w:tr>
      <w:tr w:rsidR="00404448" w:rsidRPr="00A06F45">
        <w:trPr>
          <w:trHeight w:val="240"/>
        </w:trPr>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Default="00404448" w:rsidP="00404448">
            <w:pPr>
              <w:spacing w:after="0"/>
              <w:jc w:val="center"/>
            </w:pPr>
            <w:r>
              <w:t>825</w:t>
            </w:r>
          </w:p>
        </w:tc>
        <w:tc>
          <w:tcPr>
            <w:tcW w:w="18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Default="00404448" w:rsidP="00404448">
            <w:pPr>
              <w:spacing w:after="0"/>
              <w:jc w:val="center"/>
            </w:pPr>
            <w:r>
              <w:t>4.00E-01</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Default="00404448" w:rsidP="00404448">
            <w:pPr>
              <w:spacing w:after="0"/>
              <w:jc w:val="right"/>
            </w:pPr>
            <w:r>
              <w:t>5.60E-01</w:t>
            </w:r>
          </w:p>
        </w:tc>
      </w:tr>
      <w:tr w:rsidR="00404448" w:rsidRPr="00A06F45">
        <w:trPr>
          <w:trHeight w:val="240"/>
        </w:trPr>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Default="00404448" w:rsidP="00404448">
            <w:pPr>
              <w:spacing w:after="0"/>
              <w:jc w:val="center"/>
            </w:pPr>
            <w:r>
              <w:t>850</w:t>
            </w:r>
          </w:p>
        </w:tc>
        <w:tc>
          <w:tcPr>
            <w:tcW w:w="18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Default="00404448" w:rsidP="00404448">
            <w:pPr>
              <w:spacing w:after="0"/>
              <w:jc w:val="center"/>
            </w:pPr>
            <w:r>
              <w:t>3.32E-01</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Default="00404448" w:rsidP="00404448">
            <w:pPr>
              <w:spacing w:after="0"/>
              <w:jc w:val="right"/>
            </w:pPr>
            <w:r>
              <w:t>4.65E-01</w:t>
            </w:r>
          </w:p>
        </w:tc>
      </w:tr>
      <w:tr w:rsidR="00404448" w:rsidRPr="00A06F45">
        <w:trPr>
          <w:trHeight w:val="240"/>
        </w:trPr>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Default="00404448" w:rsidP="00404448">
            <w:pPr>
              <w:spacing w:after="0"/>
              <w:jc w:val="center"/>
            </w:pPr>
            <w:r>
              <w:t>875</w:t>
            </w:r>
          </w:p>
        </w:tc>
        <w:tc>
          <w:tcPr>
            <w:tcW w:w="18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Default="00404448" w:rsidP="00404448">
            <w:pPr>
              <w:spacing w:after="0"/>
              <w:jc w:val="center"/>
            </w:pPr>
            <w:r>
              <w:t>2.79E-01</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Default="00404448" w:rsidP="00404448">
            <w:pPr>
              <w:spacing w:after="0"/>
              <w:jc w:val="right"/>
            </w:pPr>
            <w:r>
              <w:t>3.90E-01</w:t>
            </w:r>
          </w:p>
        </w:tc>
      </w:tr>
      <w:tr w:rsidR="00404448" w:rsidRPr="00A06F45">
        <w:trPr>
          <w:trHeight w:val="240"/>
        </w:trPr>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Default="00404448" w:rsidP="00404448">
            <w:pPr>
              <w:spacing w:after="0"/>
              <w:jc w:val="center"/>
            </w:pPr>
            <w:r>
              <w:t>900</w:t>
            </w:r>
          </w:p>
        </w:tc>
        <w:tc>
          <w:tcPr>
            <w:tcW w:w="18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Default="00404448" w:rsidP="00404448">
            <w:pPr>
              <w:spacing w:after="0"/>
              <w:jc w:val="center"/>
            </w:pPr>
            <w:r>
              <w:t>2.03E-02</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Default="00404448" w:rsidP="00404448">
            <w:pPr>
              <w:spacing w:after="0"/>
              <w:jc w:val="right"/>
            </w:pPr>
            <w:r>
              <w:t>2.84E-02</w:t>
            </w:r>
          </w:p>
        </w:tc>
      </w:tr>
      <w:tr w:rsidR="00404448" w:rsidRPr="00A06F45">
        <w:trPr>
          <w:trHeight w:val="240"/>
        </w:trPr>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Default="00404448" w:rsidP="00404448">
            <w:pPr>
              <w:spacing w:after="0"/>
              <w:jc w:val="center"/>
            </w:pPr>
            <w:r>
              <w:t>925</w:t>
            </w:r>
          </w:p>
        </w:tc>
        <w:tc>
          <w:tcPr>
            <w:tcW w:w="18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Default="00404448" w:rsidP="00404448">
            <w:pPr>
              <w:spacing w:after="0"/>
              <w:jc w:val="center"/>
            </w:pPr>
            <w:r>
              <w:t>3.75E-04</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Default="00404448" w:rsidP="00404448">
            <w:pPr>
              <w:spacing w:after="0"/>
              <w:jc w:val="right"/>
            </w:pPr>
            <w:r>
              <w:t>5.24E-04</w:t>
            </w:r>
          </w:p>
        </w:tc>
      </w:tr>
      <w:tr w:rsidR="00404448" w:rsidRPr="00A06F45">
        <w:trPr>
          <w:trHeight w:val="240"/>
        </w:trPr>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Default="00404448" w:rsidP="00404448">
            <w:pPr>
              <w:spacing w:after="0"/>
              <w:jc w:val="center"/>
            </w:pPr>
            <w:r>
              <w:t>950</w:t>
            </w:r>
          </w:p>
        </w:tc>
        <w:tc>
          <w:tcPr>
            <w:tcW w:w="18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Default="00404448" w:rsidP="00404448">
            <w:pPr>
              <w:spacing w:after="0"/>
              <w:jc w:val="center"/>
            </w:pPr>
            <w:r>
              <w:t>1.48E-04</w:t>
            </w:r>
          </w:p>
        </w:tc>
        <w:tc>
          <w:tcPr>
            <w:tcW w:w="13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Default="00404448" w:rsidP="00404448">
            <w:pPr>
              <w:spacing w:after="0"/>
              <w:jc w:val="right"/>
            </w:pPr>
            <w:r>
              <w:t>2.07E-04</w:t>
            </w:r>
          </w:p>
        </w:tc>
      </w:tr>
    </w:tbl>
    <w:p w:rsidR="00404448" w:rsidRPr="00A06F45" w:rsidRDefault="00404448" w:rsidP="00404448">
      <w:pPr>
        <w:jc w:val="center"/>
      </w:pPr>
    </w:p>
    <w:p w:rsidR="00404448" w:rsidRPr="00394F88" w:rsidRDefault="00404448" w:rsidP="00404448">
      <w:pPr>
        <w:pStyle w:val="Heading2"/>
        <w:rPr>
          <w:sz w:val="22"/>
        </w:rPr>
      </w:pPr>
      <w:bookmarkStart w:id="80" w:name="_Toc322942165"/>
      <w:r w:rsidRPr="00394F88">
        <w:rPr>
          <w:sz w:val="22"/>
        </w:rPr>
        <w:t>Aberrations</w:t>
      </w:r>
      <w:bookmarkEnd w:id="80"/>
    </w:p>
    <w:p w:rsidR="00404448" w:rsidRDefault="00404448" w:rsidP="00404448">
      <w:r>
        <w:t xml:space="preserve">The spherical aberration of the primary mirror is compensated by the Schmidt corrector.  The corrector breaks the symmetry of the telescope, but the off-axis aberrations are relatively small compared to the spherical aberration of the primary mirror without the Schmidt, because the corrector is a plane-parallel plate and thin compared to the radius of curvature of the primary (Schroeder, 1987).  Since the Schmidt corrector has an index of refraction which varies with wavelength, </w:t>
      </w:r>
      <w:r w:rsidRPr="0092315C">
        <w:t xml:space="preserve">9-plus waves peak-to-valley </w:t>
      </w:r>
      <w:r>
        <w:t xml:space="preserve">(Cameron, 2008) </w:t>
      </w:r>
      <w:r w:rsidRPr="0092315C">
        <w:t>of chromatic aberration</w:t>
      </w:r>
      <w:r>
        <w:t xml:space="preserve"> are introduced into the telescope PSF, which is the limiting aberration for image quality.  See </w:t>
      </w:r>
      <w:r w:rsidR="004C78B9">
        <w:fldChar w:fldCharType="begin"/>
      </w:r>
      <w:r w:rsidR="00C903B6">
        <w:instrText xml:space="preserve"> REF _Ref209524082 \h </w:instrText>
      </w:r>
      <w:r w:rsidR="004C78B9">
        <w:fldChar w:fldCharType="separate"/>
      </w:r>
      <w:r w:rsidR="000D2EB4">
        <w:t xml:space="preserve">Figure </w:t>
      </w:r>
      <w:r w:rsidR="000D2EB4">
        <w:rPr>
          <w:noProof/>
        </w:rPr>
        <w:t>14</w:t>
      </w:r>
      <w:r w:rsidR="004C78B9">
        <w:fldChar w:fldCharType="end"/>
      </w:r>
      <w:r>
        <w:t xml:space="preserve"> for an example.</w:t>
      </w:r>
    </w:p>
    <w:p w:rsidR="00404448" w:rsidRDefault="000518AB" w:rsidP="00404448">
      <w:pPr>
        <w:keepNext/>
      </w:pPr>
      <w:r>
        <w:rPr>
          <w:noProof/>
        </w:rPr>
        <w:drawing>
          <wp:inline distT="0" distB="0" distL="0" distR="0">
            <wp:extent cx="5939790" cy="3381375"/>
            <wp:effectExtent l="25400" t="0" r="381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
                    <a:srcRect/>
                    <a:stretch>
                      <a:fillRect/>
                    </a:stretch>
                  </pic:blipFill>
                  <pic:spPr bwMode="auto">
                    <a:xfrm>
                      <a:off x="0" y="0"/>
                      <a:ext cx="5939790" cy="3381375"/>
                    </a:xfrm>
                    <a:prstGeom prst="rect">
                      <a:avLst/>
                    </a:prstGeom>
                    <a:noFill/>
                    <a:ln w="9525">
                      <a:noFill/>
                      <a:miter lim="800000"/>
                      <a:headEnd/>
                      <a:tailEnd/>
                    </a:ln>
                  </pic:spPr>
                </pic:pic>
              </a:graphicData>
            </a:graphic>
          </wp:inline>
        </w:drawing>
      </w:r>
    </w:p>
    <w:p w:rsidR="00404448" w:rsidRPr="0092315C" w:rsidRDefault="00404448" w:rsidP="00404448">
      <w:pPr>
        <w:pStyle w:val="Caption"/>
      </w:pPr>
      <w:bookmarkStart w:id="81" w:name="_Ref209524082"/>
      <w:bookmarkStart w:id="82" w:name="_Ref209524077"/>
      <w:bookmarkStart w:id="83" w:name="_Toc322942244"/>
      <w:r>
        <w:t xml:space="preserve">Figure </w:t>
      </w:r>
      <w:fldSimple w:instr=" SEQ Figure \* ARABIC ">
        <w:r w:rsidR="000D2EB4">
          <w:rPr>
            <w:noProof/>
          </w:rPr>
          <w:t>14</w:t>
        </w:r>
      </w:fldSimple>
      <w:bookmarkEnd w:id="81"/>
      <w:r>
        <w:t xml:space="preserve">:  Theoretical example of Chromatic Aberration in </w:t>
      </w:r>
      <w:r w:rsidR="004A3FBE" w:rsidRPr="004A3FBE">
        <w:rPr>
          <w:i/>
        </w:rPr>
        <w:t>Kepler</w:t>
      </w:r>
      <w:r>
        <w:t xml:space="preserve"> PSF, channel 24.3.  The three images are, from left to right, 430 nm, 630 nm, and 830 nm monochromatic PSFs.  The images are histogram-equalization scaled, and each of the 3 subsampled images is displayed on an area of 11x11 pixels.</w:t>
      </w:r>
      <w:bookmarkEnd w:id="82"/>
      <w:bookmarkEnd w:id="83"/>
    </w:p>
    <w:p w:rsidR="00404448" w:rsidRPr="00394F88" w:rsidRDefault="00404448" w:rsidP="00404448">
      <w:pPr>
        <w:pStyle w:val="Heading2"/>
        <w:rPr>
          <w:sz w:val="22"/>
        </w:rPr>
      </w:pPr>
      <w:bookmarkStart w:id="84" w:name="_Ref106254111"/>
      <w:bookmarkStart w:id="85" w:name="_Toc322942166"/>
      <w:r w:rsidRPr="00394F88">
        <w:rPr>
          <w:sz w:val="22"/>
        </w:rPr>
        <w:t>Pixel Response Function</w:t>
      </w:r>
      <w:bookmarkEnd w:id="84"/>
      <w:bookmarkEnd w:id="85"/>
    </w:p>
    <w:p w:rsidR="00404448" w:rsidRPr="00EE03AE" w:rsidRDefault="00404448" w:rsidP="00404448">
      <w:r>
        <w:t xml:space="preserve">The system Pixel Response Function (PRF) is the image property of most interest to the </w:t>
      </w:r>
      <w:r w:rsidR="004A3FBE" w:rsidRPr="004A3FBE">
        <w:rPr>
          <w:i/>
        </w:rPr>
        <w:t>Kepler</w:t>
      </w:r>
      <w:r>
        <w:t xml:space="preserve"> data analysis, as it describes the observed appearance of point sources.  The PRF is a combination of the optical PSF, the jitter PSD, the module defocus, the CCD response function, and the electronic impulse response. It is a function of the source MORC location (</w:t>
      </w:r>
      <w:r w:rsidR="00E607E6">
        <w:t>§</w:t>
      </w:r>
      <w:r w:rsidR="004C78B9">
        <w:fldChar w:fldCharType="begin"/>
      </w:r>
      <w:r w:rsidR="00C903B6">
        <w:instrText xml:space="preserve"> REF _Ref205709453 \r \h </w:instrText>
      </w:r>
      <w:r w:rsidR="004C78B9">
        <w:fldChar w:fldCharType="separate"/>
      </w:r>
      <w:r w:rsidR="000D2EB4">
        <w:t>4.3</w:t>
      </w:r>
      <w:r w:rsidR="004C78B9">
        <w:fldChar w:fldCharType="end"/>
      </w:r>
      <w:r>
        <w:t xml:space="preserve">), and the intrapixel location of the source centroid. </w:t>
      </w:r>
      <w:r w:rsidR="000231E4">
        <w:t xml:space="preserve">In principle, the PRF will also </w:t>
      </w:r>
      <w:r>
        <w:t xml:space="preserve">be a function of stellar spectra type, since there is chromatic aberration in the Schmidt and wavelength dependence in the system optical throughput and CCD properties.  However, the broadband emission from stars of any color washes out most of the fine structure calculated from the Code V model of the </w:t>
      </w:r>
      <w:r w:rsidR="004A3FBE" w:rsidRPr="004A3FBE">
        <w:rPr>
          <w:i/>
        </w:rPr>
        <w:t>Kepler</w:t>
      </w:r>
      <w:r>
        <w:t xml:space="preserve"> optics using monochromatic light at different wavelengths (</w:t>
      </w:r>
      <w:r w:rsidR="004C78B9">
        <w:fldChar w:fldCharType="begin"/>
      </w:r>
      <w:r w:rsidR="00C903B6">
        <w:instrText xml:space="preserve"> REF _Ref209524082 \h </w:instrText>
      </w:r>
      <w:r w:rsidR="004C78B9">
        <w:fldChar w:fldCharType="separate"/>
      </w:r>
      <w:r w:rsidR="000D2EB4">
        <w:t xml:space="preserve">Figure </w:t>
      </w:r>
      <w:r w:rsidR="000D2EB4">
        <w:rPr>
          <w:noProof/>
        </w:rPr>
        <w:t>14</w:t>
      </w:r>
      <w:r w:rsidR="004C78B9">
        <w:fldChar w:fldCharType="end"/>
      </w:r>
      <w:r>
        <w:t>).  The PRFs discussed in this Section</w:t>
      </w:r>
      <w:r w:rsidRPr="00EE03AE">
        <w:t xml:space="preserve"> are the measured PRFs, which means that each is the average of several stars in the </w:t>
      </w:r>
      <w:r w:rsidR="004A3FBE" w:rsidRPr="004A3FBE">
        <w:rPr>
          <w:i/>
        </w:rPr>
        <w:t>Kepler</w:t>
      </w:r>
      <w:r w:rsidRPr="00EE03AE">
        <w:t xml:space="preserve"> bandpass. </w:t>
      </w:r>
      <w:r>
        <w:t xml:space="preserve">  While the Code V model shows that </w:t>
      </w:r>
      <w:r w:rsidRPr="00EE03AE">
        <w:t xml:space="preserve">there are real differences between the different </w:t>
      </w:r>
      <w:r>
        <w:t xml:space="preserve">stellar </w:t>
      </w:r>
      <w:r w:rsidRPr="00EE03AE">
        <w:t xml:space="preserve">colors in detail, </w:t>
      </w:r>
      <w:r>
        <w:t xml:space="preserve">these differences are </w:t>
      </w:r>
      <w:r w:rsidRPr="00EE03AE">
        <w:t xml:space="preserve">not enough </w:t>
      </w:r>
      <w:r>
        <w:t>to threat</w:t>
      </w:r>
      <w:r w:rsidR="00250673">
        <w:t>en target management, and they we</w:t>
      </w:r>
      <w:r>
        <w:t>re not part of observ</w:t>
      </w:r>
      <w:r w:rsidR="00250673">
        <w:t>ation planning or data analysis.</w:t>
      </w:r>
    </w:p>
    <w:p w:rsidR="00404448" w:rsidRDefault="00404448" w:rsidP="00404448">
      <w:pPr>
        <w:tabs>
          <w:tab w:val="left" w:pos="4230"/>
        </w:tabs>
      </w:pPr>
      <w:r>
        <w:t xml:space="preserve">Since </w:t>
      </w:r>
      <w:r w:rsidR="004A3FBE" w:rsidRPr="004A3FBE">
        <w:rPr>
          <w:i/>
        </w:rPr>
        <w:t>Kepler</w:t>
      </w:r>
      <w:r>
        <w:t xml:space="preserve"> is a photometer, not an imager, the most compact PSF is not necessarily the best.  The </w:t>
      </w:r>
      <w:r w:rsidR="004A3FBE" w:rsidRPr="004A3FBE">
        <w:rPr>
          <w:i/>
        </w:rPr>
        <w:t>Kepler</w:t>
      </w:r>
      <w:r>
        <w:t xml:space="preserve"> PSF shows significant fine structure, and concentrating too much light in the brightest pixel </w:t>
      </w:r>
      <w:r w:rsidR="0071458F">
        <w:t xml:space="preserve">can </w:t>
      </w:r>
      <w:r>
        <w:t xml:space="preserve">actually degrade the photometry by increasing sensitivity to image motion, and degrade DIA </w:t>
      </w:r>
      <w:r w:rsidR="00702EA8">
        <w:t xml:space="preserve">(Differential Image Analysis) </w:t>
      </w:r>
      <w:r>
        <w:t>by degrading centroid accuracy.  On the other hand, the SNR is decreased by making the PRF too broad, since a sum over more zodiacal light</w:t>
      </w:r>
      <w:r w:rsidR="0071458F">
        <w:t>,</w:t>
      </w:r>
      <w:r>
        <w:t xml:space="preserve"> background stars (and their noise)</w:t>
      </w:r>
      <w:r w:rsidR="0071458F">
        <w:t>, and pixels (with their read noise)</w:t>
      </w:r>
      <w:r>
        <w:t xml:space="preserve"> will be needed to capture the flux.  This noise increase is significant since, on average, each pixel has the equivalent of one 19</w:t>
      </w:r>
      <w:r w:rsidRPr="00B96B6A">
        <w:rPr>
          <w:vertAlign w:val="superscript"/>
        </w:rPr>
        <w:t>th</w:t>
      </w:r>
      <w:r>
        <w:t xml:space="preserve"> magnitude star, in addition to the zodiacal light.  So both brightest pixel flux fraction (BPFF) and 95% encircled energy diameter (EE95) are used to bound the acceptable PRF, which is evaluated for the spectrum of a G2V star.  The BPFF should be &lt;60% (Gilliland, 2004), while EE95 is required to be &lt; 7.0 pixels.  </w:t>
      </w:r>
    </w:p>
    <w:p w:rsidR="00404448" w:rsidRDefault="00404448" w:rsidP="00404448">
      <w:r>
        <w:t xml:space="preserve">The </w:t>
      </w:r>
      <w:r w:rsidR="004A3FBE" w:rsidRPr="004A3FBE">
        <w:rPr>
          <w:i/>
        </w:rPr>
        <w:t>Kepler</w:t>
      </w:r>
      <w:r>
        <w:t xml:space="preserve"> telescope was focus adjusted during Commissioning, by 40 </w:t>
      </w:r>
      <w:r>
        <w:sym w:font="Symbol" w:char="F06D"/>
      </w:r>
      <w:r>
        <w:t xml:space="preserve">m in piston and a smaller amount in tilt, to minimize the RMS offset from best focus.  A set of bright, nonsaturating, relatively isolated stars were defined as Short Cadence targets, which will be referred to as the “EE Targets” since EE is the performance requirement which BATC was verifying with these observations. The resulting image set substantially exceeds the encircled energy requirement.  In addition, focusing resulted in a more symmetric variation of PRF across the focal plane, which reduces discontinuities in photometric aperture properties between quarterly rolls for a given target.  </w:t>
      </w:r>
    </w:p>
    <w:p w:rsidR="00404448" w:rsidRDefault="000518AB" w:rsidP="00404448">
      <w:pPr>
        <w:keepNext/>
      </w:pPr>
      <w:r>
        <w:rPr>
          <w:noProof/>
        </w:rPr>
        <w:drawing>
          <wp:inline distT="0" distB="0" distL="0" distR="0">
            <wp:extent cx="5939790" cy="1736725"/>
            <wp:effectExtent l="25400" t="0" r="3810" b="0"/>
            <wp:docPr id="19" name="Picture 19" descr="prf_ee_sq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rf_ee_sqrt"/>
                    <pic:cNvPicPr>
                      <a:picLocks noChangeAspect="1" noChangeArrowheads="1"/>
                    </pic:cNvPicPr>
                  </pic:nvPicPr>
                  <pic:blipFill>
                    <a:blip r:embed="rId28"/>
                    <a:srcRect/>
                    <a:stretch>
                      <a:fillRect/>
                    </a:stretch>
                  </pic:blipFill>
                  <pic:spPr bwMode="auto">
                    <a:xfrm>
                      <a:off x="0" y="0"/>
                      <a:ext cx="5939790" cy="1736725"/>
                    </a:xfrm>
                    <a:prstGeom prst="rect">
                      <a:avLst/>
                    </a:prstGeom>
                    <a:noFill/>
                    <a:ln w="9525">
                      <a:noFill/>
                      <a:miter lim="800000"/>
                      <a:headEnd/>
                      <a:tailEnd/>
                    </a:ln>
                  </pic:spPr>
                </pic:pic>
              </a:graphicData>
            </a:graphic>
          </wp:inline>
        </w:drawing>
      </w:r>
    </w:p>
    <w:p w:rsidR="00FC6238" w:rsidRDefault="00404448" w:rsidP="00404448">
      <w:pPr>
        <w:pStyle w:val="Caption"/>
      </w:pPr>
      <w:bookmarkStart w:id="86" w:name="_Ref208725477"/>
      <w:bookmarkStart w:id="87" w:name="_Toc322942245"/>
      <w:r>
        <w:t xml:space="preserve">Figure </w:t>
      </w:r>
      <w:fldSimple w:instr=" SEQ Figure \* ARABIC ">
        <w:r w:rsidR="000D2EB4">
          <w:rPr>
            <w:noProof/>
          </w:rPr>
          <w:t>15</w:t>
        </w:r>
      </w:fldSimple>
      <w:bookmarkEnd w:id="86"/>
      <w:r>
        <w:t>:  Example square-root scaled pixel-centered Pixel Response Functions calculated by the PRF model based on Commissioning data.  The color bar indicates the square-root scaled value.  PRFs are calculated near the center of the channel at row 535.0, column 550.0.  Unscaled images are normalized to give a flux of unity integrated over the PRF.  Left:  Channel 9.2, smallest EE95</w:t>
      </w:r>
      <w:r w:rsidR="00702EA8">
        <w:t>;</w:t>
      </w:r>
      <w:r>
        <w:t xml:space="preserve">  Middle:  Channel 13.2, median EE95</w:t>
      </w:r>
      <w:r w:rsidR="00702EA8">
        <w:t>;</w:t>
      </w:r>
      <w:r>
        <w:t xml:space="preserve">  Right:  Channel 10.4, largest EE95.  Images are in channel coordinate system, with the + ordinate increasing rows, and the + abscissa increasing columns.</w:t>
      </w:r>
      <w:bookmarkEnd w:id="87"/>
    </w:p>
    <w:p w:rsidR="00404448" w:rsidRPr="00FC6238" w:rsidRDefault="00FC6238" w:rsidP="00FC6238">
      <w:r>
        <w:t xml:space="preserve">Subsequent to focusing, the PRF was measured, using a much larger set of stars, by again moving the telescope in sub-pixel intervals. The representation of the PRF derived from the full data set, and delivered to the SOC and MAST, was used to compute pixel-centered PRFs at row 535.0 and column 550.0 as shown in </w:t>
      </w:r>
      <w:r w:rsidR="004C78B9">
        <w:fldChar w:fldCharType="begin"/>
      </w:r>
      <w:r w:rsidR="00945ECC">
        <w:instrText xml:space="preserve"> REF _Ref208725477 \h </w:instrText>
      </w:r>
      <w:r w:rsidR="004C78B9">
        <w:fldChar w:fldCharType="separate"/>
      </w:r>
      <w:r>
        <w:t xml:space="preserve">Figure </w:t>
      </w:r>
      <w:r>
        <w:rPr>
          <w:noProof/>
        </w:rPr>
        <w:t>15</w:t>
      </w:r>
      <w:r w:rsidR="004C78B9">
        <w:fldChar w:fldCharType="end"/>
      </w:r>
      <w:r>
        <w:t xml:space="preserve">.  Images from the EE activity, selected to have the centroid closest to a pixel center are shown in the Y’ Z’ FPA coordinate system in </w:t>
      </w:r>
      <w:r w:rsidR="004C78B9">
        <w:fldChar w:fldCharType="begin"/>
      </w:r>
      <w:r w:rsidR="00945ECC">
        <w:instrText xml:space="preserve"> REF _Ref209929681 \h </w:instrText>
      </w:r>
      <w:r w:rsidR="004C78B9">
        <w:fldChar w:fldCharType="separate"/>
      </w:r>
      <w:r>
        <w:t xml:space="preserve">Figure </w:t>
      </w:r>
      <w:r>
        <w:rPr>
          <w:noProof/>
        </w:rPr>
        <w:t>16</w:t>
      </w:r>
      <w:r w:rsidR="004C78B9">
        <w:fldChar w:fldCharType="end"/>
      </w:r>
      <w:r>
        <w:t xml:space="preserve">. The EE95 derived from the delivered PRF are shown in </w:t>
      </w:r>
      <w:r w:rsidR="004C78B9">
        <w:fldChar w:fldCharType="begin"/>
      </w:r>
      <w:r w:rsidR="00945ECC">
        <w:instrText xml:space="preserve"> REF _Ref105239008 \h </w:instrText>
      </w:r>
      <w:r w:rsidR="004C78B9">
        <w:fldChar w:fldCharType="separate"/>
      </w:r>
      <w:r>
        <w:t xml:space="preserve">Figure </w:t>
      </w:r>
      <w:r>
        <w:rPr>
          <w:noProof/>
        </w:rPr>
        <w:t>17</w:t>
      </w:r>
      <w:r w:rsidR="004C78B9">
        <w:fldChar w:fldCharType="end"/>
      </w:r>
      <w:r>
        <w:t>.  These images and 95% EE diameters are meant to give the observer a qualitative idea of how the PRF varies across the focal plane; for precise target aperture definition and photometric time series analysis, users should download the PRF model from MAST (KAM §2.3.5.17).</w:t>
      </w:r>
    </w:p>
    <w:p w:rsidR="00404448" w:rsidRDefault="000518AB" w:rsidP="00404448">
      <w:pPr>
        <w:keepNext/>
      </w:pPr>
      <w:r>
        <w:rPr>
          <w:noProof/>
        </w:rPr>
        <w:drawing>
          <wp:inline distT="0" distB="0" distL="0" distR="0">
            <wp:extent cx="5939790" cy="5401310"/>
            <wp:effectExtent l="25400" t="0" r="3810" b="0"/>
            <wp:docPr id="20" name="Picture 20" descr="observed_prfs_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observed_prfs_all"/>
                    <pic:cNvPicPr>
                      <a:picLocks noChangeAspect="1" noChangeArrowheads="1"/>
                    </pic:cNvPicPr>
                  </pic:nvPicPr>
                  <pic:blipFill>
                    <a:blip r:embed="rId29"/>
                    <a:srcRect/>
                    <a:stretch>
                      <a:fillRect/>
                    </a:stretch>
                  </pic:blipFill>
                  <pic:spPr bwMode="auto">
                    <a:xfrm>
                      <a:off x="0" y="0"/>
                      <a:ext cx="5939790" cy="5401310"/>
                    </a:xfrm>
                    <a:prstGeom prst="rect">
                      <a:avLst/>
                    </a:prstGeom>
                    <a:noFill/>
                    <a:ln w="9525">
                      <a:noFill/>
                      <a:miter lim="800000"/>
                      <a:headEnd/>
                      <a:tailEnd/>
                    </a:ln>
                  </pic:spPr>
                </pic:pic>
              </a:graphicData>
            </a:graphic>
          </wp:inline>
        </w:drawing>
      </w:r>
    </w:p>
    <w:p w:rsidR="00404448" w:rsidRDefault="00404448" w:rsidP="00404448">
      <w:pPr>
        <w:pStyle w:val="Caption"/>
      </w:pPr>
      <w:bookmarkStart w:id="88" w:name="_Ref209929681"/>
      <w:bookmarkStart w:id="89" w:name="_Toc322942246"/>
      <w:r>
        <w:t xml:space="preserve">Figure </w:t>
      </w:r>
      <w:fldSimple w:instr=" SEQ Figure \* ARABIC ">
        <w:r w:rsidR="000D2EB4">
          <w:rPr>
            <w:noProof/>
          </w:rPr>
          <w:t>16</w:t>
        </w:r>
      </w:fldSimple>
      <w:bookmarkEnd w:id="88"/>
      <w:r>
        <w:t xml:space="preserve">: Pixel-centered images across the FPA after adjusting the focus by 40 </w:t>
      </w:r>
      <w:r>
        <w:sym w:font="Symbol" w:char="F06D"/>
      </w:r>
      <w:r>
        <w:t>m during Commissioning.  Each EE Target is normalized to the brightest pixel in the target aperture, rotated and translated to the common FPA co-ordinate system, and linearly scaled to the color bar to the right.  Black lines on color bar represent 10% intervals.  Some channels did not have targets, or the targets were deemed unsatisfactory.  The EE targets are magnified by 50x compared to the spacing between them in this image.  Relatively dim stars near targets and smear correction artifacts are also visible.</w:t>
      </w:r>
      <w:bookmarkEnd w:id="89"/>
    </w:p>
    <w:p w:rsidR="00404448" w:rsidRDefault="00404448" w:rsidP="00404448">
      <w:pPr>
        <w:keepNext/>
      </w:pPr>
    </w:p>
    <w:p w:rsidR="00404448" w:rsidRDefault="000518AB" w:rsidP="00404448">
      <w:pPr>
        <w:keepNext/>
      </w:pPr>
      <w:r>
        <w:rPr>
          <w:noProof/>
        </w:rPr>
        <w:drawing>
          <wp:inline distT="0" distB="0" distL="0" distR="0">
            <wp:extent cx="5932805" cy="4749165"/>
            <wp:effectExtent l="25400" t="0" r="10795" b="0"/>
            <wp:docPr id="21" name="Picture 21" descr="EE_diameter_5prf_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E_diameter_5prf_model"/>
                    <pic:cNvPicPr>
                      <a:picLocks noChangeAspect="1" noChangeArrowheads="1"/>
                    </pic:cNvPicPr>
                  </pic:nvPicPr>
                  <pic:blipFill>
                    <a:blip r:embed="rId30"/>
                    <a:srcRect/>
                    <a:stretch>
                      <a:fillRect/>
                    </a:stretch>
                  </pic:blipFill>
                  <pic:spPr bwMode="auto">
                    <a:xfrm>
                      <a:off x="0" y="0"/>
                      <a:ext cx="5932805" cy="4749165"/>
                    </a:xfrm>
                    <a:prstGeom prst="rect">
                      <a:avLst/>
                    </a:prstGeom>
                    <a:noFill/>
                    <a:ln w="9525">
                      <a:noFill/>
                      <a:miter lim="800000"/>
                      <a:headEnd/>
                      <a:tailEnd/>
                    </a:ln>
                  </pic:spPr>
                </pic:pic>
              </a:graphicData>
            </a:graphic>
          </wp:inline>
        </w:drawing>
      </w:r>
    </w:p>
    <w:p w:rsidR="00404448" w:rsidRDefault="00404448" w:rsidP="00404448">
      <w:pPr>
        <w:pStyle w:val="Caption"/>
        <w:rPr>
          <w:bCs/>
        </w:rPr>
      </w:pPr>
      <w:bookmarkStart w:id="90" w:name="_Ref105239008"/>
      <w:bookmarkStart w:id="91" w:name="_Toc322942247"/>
      <w:r>
        <w:t xml:space="preserve">Figure </w:t>
      </w:r>
      <w:fldSimple w:instr=" SEQ Figure \* ARABIC ">
        <w:r w:rsidR="000D2EB4">
          <w:rPr>
            <w:noProof/>
          </w:rPr>
          <w:t>17</w:t>
        </w:r>
      </w:fldSimple>
      <w:bookmarkEnd w:id="90"/>
      <w:r>
        <w:t xml:space="preserve">: Observed 95% EE diameter after focusing the </w:t>
      </w:r>
      <w:r w:rsidR="004A3FBE" w:rsidRPr="004A3FBE">
        <w:rPr>
          <w:i/>
        </w:rPr>
        <w:t>Kepler</w:t>
      </w:r>
      <w:r w:rsidR="00FE086B">
        <w:t xml:space="preserve"> telescope (see</w:t>
      </w:r>
      <w:r>
        <w:t xml:space="preserve"> Bryson </w:t>
      </w:r>
      <w:r w:rsidR="005628BC">
        <w:t>et al. 2011</w:t>
      </w:r>
      <w:r w:rsidR="00BD3515">
        <w:t xml:space="preserve"> for discussion</w:t>
      </w:r>
      <w:r>
        <w:t>), arranged in the FPA co-ordinate system.   Each box is labeled</w:t>
      </w:r>
      <w:r w:rsidR="00BA207D">
        <w:t xml:space="preserve"> by channel</w:t>
      </w:r>
      <w:r>
        <w:t>, followed by the 95% EE diameter in pixels.  Green indicates a 95% EE diameter well within the 7.0 pixel requirement, shading to red in those few cases where the requirement is approached or slightly exceeded.  The white corners indicate FGS channels.</w:t>
      </w:r>
      <w:bookmarkEnd w:id="91"/>
      <w:r>
        <w:t xml:space="preserve"> </w:t>
      </w:r>
    </w:p>
    <w:p w:rsidR="00404448" w:rsidRPr="00D7254F" w:rsidRDefault="00404448" w:rsidP="00404448">
      <w:r>
        <w:t xml:space="preserve">A preliminary analysis of the percent flux in the center pixel of the pixel-centered images shown in </w:t>
      </w:r>
      <w:r w:rsidR="004C78B9">
        <w:fldChar w:fldCharType="begin"/>
      </w:r>
      <w:r w:rsidR="00C903B6">
        <w:instrText xml:space="preserve"> REF _Ref209929681 \h </w:instrText>
      </w:r>
      <w:r w:rsidR="004C78B9">
        <w:fldChar w:fldCharType="separate"/>
      </w:r>
      <w:r w:rsidR="000D2EB4">
        <w:t xml:space="preserve">Figure </w:t>
      </w:r>
      <w:r w:rsidR="000D2EB4">
        <w:rPr>
          <w:noProof/>
        </w:rPr>
        <w:t>16</w:t>
      </w:r>
      <w:r w:rsidR="004C78B9">
        <w:fldChar w:fldCharType="end"/>
      </w:r>
      <w:r>
        <w:t xml:space="preserve">, grouped by module like the EE results shown in </w:t>
      </w:r>
      <w:r w:rsidR="004C78B9">
        <w:fldChar w:fldCharType="begin"/>
      </w:r>
      <w:r w:rsidR="00C903B6">
        <w:instrText xml:space="preserve"> REF _Ref105239008 \h </w:instrText>
      </w:r>
      <w:r w:rsidR="004C78B9">
        <w:fldChar w:fldCharType="separate"/>
      </w:r>
      <w:r w:rsidR="000D2EB4">
        <w:t xml:space="preserve">Figure </w:t>
      </w:r>
      <w:r w:rsidR="000D2EB4">
        <w:rPr>
          <w:noProof/>
        </w:rPr>
        <w:t>17</w:t>
      </w:r>
      <w:r w:rsidR="004C78B9">
        <w:fldChar w:fldCharType="end"/>
      </w:r>
      <w:r>
        <w:t xml:space="preserve">, gives results from 20% to 62%, with a median value of 45%.  It therefore appears that the focusing activity made the EE diameters smaller, without an excessive concentration of light in the brightest pixels.  </w:t>
      </w:r>
      <w:r w:rsidR="004C78B9">
        <w:fldChar w:fldCharType="begin"/>
      </w:r>
      <w:r w:rsidR="00C903B6">
        <w:instrText xml:space="preserve"> REF _Ref108518877 \h </w:instrText>
      </w:r>
      <w:r w:rsidR="004C78B9">
        <w:fldChar w:fldCharType="separate"/>
      </w:r>
      <w:r w:rsidR="000D2EB4">
        <w:t xml:space="preserve">Table </w:t>
      </w:r>
      <w:r w:rsidR="000D2EB4">
        <w:rPr>
          <w:noProof/>
        </w:rPr>
        <w:t>14</w:t>
      </w:r>
      <w:r w:rsidR="004C78B9">
        <w:fldChar w:fldCharType="end"/>
      </w:r>
      <w:r>
        <w:t xml:space="preserve"> shows 95% EE and central pixel brightness results for all channels.</w:t>
      </w:r>
    </w:p>
    <w:p w:rsidR="00404448" w:rsidRPr="00394F88" w:rsidRDefault="00404448" w:rsidP="00404448">
      <w:pPr>
        <w:pStyle w:val="Heading2"/>
        <w:rPr>
          <w:sz w:val="22"/>
        </w:rPr>
      </w:pPr>
      <w:bookmarkStart w:id="92" w:name="_Ref106253420"/>
      <w:bookmarkStart w:id="93" w:name="_Ref106254506"/>
      <w:bookmarkStart w:id="94" w:name="_Toc322942167"/>
      <w:r w:rsidRPr="00394F88">
        <w:rPr>
          <w:sz w:val="22"/>
        </w:rPr>
        <w:t>Obscuration and Vignetting</w:t>
      </w:r>
      <w:bookmarkEnd w:id="92"/>
      <w:bookmarkEnd w:id="93"/>
      <w:bookmarkEnd w:id="94"/>
    </w:p>
    <w:p w:rsidR="00404448" w:rsidRDefault="00404448" w:rsidP="00404448">
      <w:r>
        <w:t xml:space="preserve">The effective area of a telescope at a given wavelength is </w:t>
      </w:r>
    </w:p>
    <w:p w:rsidR="00404448" w:rsidRDefault="004C78B9" w:rsidP="00404448">
      <w:r w:rsidRPr="004C78B9">
        <w:rPr>
          <w:position w:val="-12"/>
        </w:rPr>
        <w:pict>
          <v:shape id="_x0000_i1026" type="#_x0000_t75" style="width:198.7pt;height:17.3pt">
            <v:imagedata r:id="rId31" r:pict="rId32" o:title=""/>
          </v:shape>
        </w:pict>
      </w:r>
      <w:r w:rsidR="00404448">
        <w:t xml:space="preserve">                                                                         Eq.</w:t>
      </w:r>
      <w:r>
        <w:fldChar w:fldCharType="begin"/>
      </w:r>
      <w:r w:rsidR="00C903B6">
        <w:instrText xml:space="preserve"> REF _Ref106253420 \r \h </w:instrText>
      </w:r>
      <w:r>
        <w:fldChar w:fldCharType="separate"/>
      </w:r>
      <w:r w:rsidR="000D2EB4">
        <w:t>3.6</w:t>
      </w:r>
      <w:r>
        <w:fldChar w:fldCharType="end"/>
      </w:r>
      <w:r w:rsidR="00404448">
        <w:t>-1</w:t>
      </w:r>
    </w:p>
    <w:p w:rsidR="00404448" w:rsidRDefault="00404448" w:rsidP="00404448">
      <w:r>
        <w:t xml:space="preserve">where </w:t>
      </w:r>
      <w:r w:rsidRPr="006A3BA8">
        <w:rPr>
          <w:rFonts w:ascii="Times New Roman" w:hAnsi="Times New Roman"/>
          <w:i/>
        </w:rPr>
        <w:t>D</w:t>
      </w:r>
      <w:r>
        <w:t xml:space="preserve"> is the diameter of the entrance aperture (0.950 m), </w:t>
      </w:r>
      <w:r w:rsidRPr="006A3BA8">
        <w:rPr>
          <w:rFonts w:ascii="Times New Roman" w:hAnsi="Times New Roman"/>
          <w:i/>
        </w:rPr>
        <w:t>a</w:t>
      </w:r>
      <w:r w:rsidRPr="006A3BA8">
        <w:rPr>
          <w:rFonts w:ascii="Times New Roman" w:hAnsi="Times New Roman"/>
          <w:i/>
          <w:vertAlign w:val="subscript"/>
        </w:rPr>
        <w:t>obs</w:t>
      </w:r>
      <w:r>
        <w:t xml:space="preserve"> is the on-axis areal obscuration (0.227), </w:t>
      </w:r>
      <w:r w:rsidRPr="006A3BA8">
        <w:rPr>
          <w:rFonts w:ascii="Times New Roman" w:hAnsi="Times New Roman"/>
          <w:i/>
        </w:rPr>
        <w:t>f</w:t>
      </w:r>
      <w:r w:rsidRPr="006A3BA8">
        <w:rPr>
          <w:rFonts w:ascii="Times New Roman" w:hAnsi="Times New Roman"/>
          <w:i/>
          <w:vertAlign w:val="subscript"/>
        </w:rPr>
        <w:t>vig</w:t>
      </w:r>
      <w:r>
        <w:t xml:space="preserve"> is the vignetting, and </w:t>
      </w:r>
      <w:r w:rsidRPr="006A3BA8">
        <w:rPr>
          <w:rFonts w:ascii="Times New Roman" w:hAnsi="Times New Roman"/>
          <w:i/>
        </w:rPr>
        <w:t>S(</w:t>
      </w:r>
      <w:r w:rsidRPr="006A3BA8">
        <w:rPr>
          <w:rFonts w:ascii="Times New Roman" w:hAnsi="Times New Roman"/>
          <w:i/>
        </w:rPr>
        <w:sym w:font="Symbol" w:char="F06C"/>
      </w:r>
      <w:r w:rsidRPr="006A3BA8">
        <w:rPr>
          <w:rFonts w:ascii="Times New Roman" w:hAnsi="Times New Roman"/>
          <w:i/>
        </w:rPr>
        <w:t>)</w:t>
      </w:r>
      <w:r>
        <w:t xml:space="preserve"> the spectral response function from </w:t>
      </w:r>
      <w:r w:rsidR="00E607E6">
        <w:t>§</w:t>
      </w:r>
      <w:r w:rsidR="004C78B9">
        <w:fldChar w:fldCharType="begin"/>
      </w:r>
      <w:r w:rsidR="00C903B6">
        <w:instrText xml:space="preserve"> REF _Ref108609376 \r \h </w:instrText>
      </w:r>
      <w:r w:rsidR="004C78B9">
        <w:fldChar w:fldCharType="separate"/>
      </w:r>
      <w:r w:rsidR="000D2EB4">
        <w:t>3.3</w:t>
      </w:r>
      <w:r w:rsidR="004C78B9">
        <w:fldChar w:fldCharType="end"/>
      </w:r>
      <w:r>
        <w:t xml:space="preserve">.   Since the FOV is so large, not all pixels in the field can see </w:t>
      </w:r>
      <w:r w:rsidR="009110DB">
        <w:t xml:space="preserve">the </w:t>
      </w:r>
      <w:r>
        <w:t xml:space="preserve">entire entrance pupil, and </w:t>
      </w:r>
      <w:r w:rsidRPr="006A3BA8">
        <w:rPr>
          <w:rFonts w:ascii="Times New Roman" w:hAnsi="Times New Roman"/>
          <w:i/>
        </w:rPr>
        <w:t>f</w:t>
      </w:r>
      <w:r w:rsidRPr="006A3BA8">
        <w:rPr>
          <w:rFonts w:ascii="Times New Roman" w:hAnsi="Times New Roman"/>
          <w:i/>
          <w:vertAlign w:val="subscript"/>
        </w:rPr>
        <w:t>vig</w:t>
      </w:r>
      <w:r>
        <w:t xml:space="preserve"> is a function of FPA coordinates </w:t>
      </w:r>
      <w:r w:rsidRPr="006A3BA8">
        <w:rPr>
          <w:rFonts w:ascii="Times New Roman" w:hAnsi="Times New Roman"/>
          <w:i/>
        </w:rPr>
        <w:t>Y’</w:t>
      </w:r>
      <w:r>
        <w:t xml:space="preserve"> and </w:t>
      </w:r>
      <w:r w:rsidRPr="006A3BA8">
        <w:rPr>
          <w:rFonts w:ascii="Times New Roman" w:hAnsi="Times New Roman"/>
          <w:i/>
        </w:rPr>
        <w:t>Z’</w:t>
      </w:r>
      <w:r>
        <w:t xml:space="preserve">.  The definition of vignetting in Eq. </w:t>
      </w:r>
      <w:r w:rsidR="004C78B9">
        <w:fldChar w:fldCharType="begin"/>
      </w:r>
      <w:r w:rsidR="00C903B6">
        <w:instrText xml:space="preserve"> REF _Ref106253420 \r \h </w:instrText>
      </w:r>
      <w:r w:rsidR="004C78B9">
        <w:fldChar w:fldCharType="separate"/>
      </w:r>
      <w:r w:rsidR="000D2EB4">
        <w:t>3.6</w:t>
      </w:r>
      <w:r w:rsidR="004C78B9">
        <w:fldChar w:fldCharType="end"/>
      </w:r>
      <w:r>
        <w:t xml:space="preserve">-1 is that used by BATC, though a more standard definition the reader may be familiar with is </w:t>
      </w:r>
    </w:p>
    <w:p w:rsidR="00404448" w:rsidRDefault="004C78B9" w:rsidP="00404448">
      <w:r w:rsidRPr="004C78B9">
        <w:rPr>
          <w:position w:val="-12"/>
        </w:rPr>
        <w:pict>
          <v:shape id="_x0000_i1027" type="#_x0000_t75" style="width:209.85pt;height:17.3pt">
            <v:imagedata r:id="rId33" r:pict="rId34" o:title=""/>
          </v:shape>
        </w:pict>
      </w:r>
      <w:r w:rsidR="00404448">
        <w:t xml:space="preserve">                                                                  Eq.</w:t>
      </w:r>
      <w:r>
        <w:fldChar w:fldCharType="begin"/>
      </w:r>
      <w:r w:rsidR="00C903B6">
        <w:instrText xml:space="preserve"> REF _Ref106253420 \r \h </w:instrText>
      </w:r>
      <w:r>
        <w:fldChar w:fldCharType="separate"/>
      </w:r>
      <w:r w:rsidR="000D2EB4">
        <w:t>3.6</w:t>
      </w:r>
      <w:r>
        <w:fldChar w:fldCharType="end"/>
      </w:r>
      <w:r w:rsidR="00404448">
        <w:t>-2</w:t>
      </w:r>
    </w:p>
    <w:p w:rsidR="00404448" w:rsidRDefault="00404448" w:rsidP="00404448">
      <w:r>
        <w:t>The definition used in Eq.</w:t>
      </w:r>
      <w:r w:rsidR="004C78B9">
        <w:fldChar w:fldCharType="begin"/>
      </w:r>
      <w:r w:rsidR="00C903B6">
        <w:instrText xml:space="preserve"> REF _Ref106253420 \r \h </w:instrText>
      </w:r>
      <w:r w:rsidR="004C78B9">
        <w:fldChar w:fldCharType="separate"/>
      </w:r>
      <w:r w:rsidR="000D2EB4">
        <w:t>3.6</w:t>
      </w:r>
      <w:r w:rsidR="004C78B9">
        <w:fldChar w:fldCharType="end"/>
      </w:r>
      <w:r>
        <w:t xml:space="preserve">-1 will be used throughout this work.  </w:t>
      </w:r>
    </w:p>
    <w:p w:rsidR="00404448" w:rsidRDefault="00404448" w:rsidP="00404448">
      <w:pPr>
        <w:rPr>
          <w:rFonts w:ascii="ArialMT" w:hAnsi="ArialMT" w:cs="ArialMT"/>
          <w:sz w:val="18"/>
          <w:szCs w:val="18"/>
        </w:rPr>
      </w:pPr>
      <w:r>
        <w:t xml:space="preserve">The vignetting is negligible within 4.6 degrees of the center, and increases to 11% at the edge of the FOV at 6.94 degrees off-axis.  The area of sky which is vignetted &lt; 11% is then 151.2 square degrees, and the sky area imaged onto active pixels with &lt; 11% vignetting is 101 square degrees since there are gaps between modules, a gap between the two CCDs on each module, and inactive areas on each CCD (See </w:t>
      </w:r>
      <w:r w:rsidR="004C78B9">
        <w:fldChar w:fldCharType="begin"/>
      </w:r>
      <w:r w:rsidR="00C903B6">
        <w:instrText xml:space="preserve"> REF _Ref205721843 \h </w:instrText>
      </w:r>
      <w:r w:rsidR="004C78B9">
        <w:fldChar w:fldCharType="separate"/>
      </w:r>
      <w:r w:rsidR="000D2EB4">
        <w:t xml:space="preserve">Figure </w:t>
      </w:r>
      <w:r w:rsidR="000D2EB4">
        <w:rPr>
          <w:noProof/>
        </w:rPr>
        <w:t>20</w:t>
      </w:r>
      <w:r w:rsidR="004C78B9">
        <w:fldChar w:fldCharType="end"/>
      </w:r>
      <w:r>
        <w:t xml:space="preserve"> and </w:t>
      </w:r>
      <w:r w:rsidR="004C78B9">
        <w:fldChar w:fldCharType="begin"/>
      </w:r>
      <w:r w:rsidR="00C903B6">
        <w:instrText xml:space="preserve"> REF _Ref205722006 \h </w:instrText>
      </w:r>
      <w:r w:rsidR="004C78B9">
        <w:fldChar w:fldCharType="separate"/>
      </w:r>
      <w:r w:rsidR="000D2EB4">
        <w:t xml:space="preserve">Figure </w:t>
      </w:r>
      <w:r w:rsidR="000D2EB4">
        <w:rPr>
          <w:noProof/>
        </w:rPr>
        <w:t>24</w:t>
      </w:r>
      <w:r w:rsidR="004C78B9">
        <w:fldChar w:fldCharType="end"/>
      </w:r>
      <w:r>
        <w:t xml:space="preserve">).  The vignetting is discussed in detail in </w:t>
      </w:r>
      <w:r>
        <w:rPr>
          <w:rFonts w:ascii="ArialMT" w:hAnsi="ArialMT" w:cs="ArialMT"/>
          <w:sz w:val="18"/>
          <w:szCs w:val="18"/>
        </w:rPr>
        <w:t>KEPLER.DFM.TEL.029B.</w:t>
      </w:r>
    </w:p>
    <w:p w:rsidR="00404448" w:rsidRDefault="00404448" w:rsidP="00404448">
      <w:pPr>
        <w:pStyle w:val="Caption"/>
        <w:keepNext/>
      </w:pPr>
      <w:bookmarkStart w:id="95" w:name="_Toc322942285"/>
      <w:r>
        <w:t xml:space="preserve">Table </w:t>
      </w:r>
      <w:fldSimple w:instr=" SEQ Table \* ARABIC ">
        <w:r w:rsidR="000D2EB4">
          <w:rPr>
            <w:noProof/>
          </w:rPr>
          <w:t>6</w:t>
        </w:r>
      </w:fldSimple>
      <w:r>
        <w:t>:  Geometric Vignetting, as defined by Eq.</w:t>
      </w:r>
      <w:r w:rsidR="004C78B9">
        <w:fldChar w:fldCharType="begin"/>
      </w:r>
      <w:r w:rsidR="00C903B6">
        <w:instrText xml:space="preserve"> REF _Ref106253420 \r \h </w:instrText>
      </w:r>
      <w:r w:rsidR="004C78B9">
        <w:fldChar w:fldCharType="separate"/>
      </w:r>
      <w:r w:rsidR="000D2EB4">
        <w:t>3.6</w:t>
      </w:r>
      <w:r w:rsidR="004C78B9">
        <w:fldChar w:fldCharType="end"/>
      </w:r>
      <w:r>
        <w:t xml:space="preserve">-1.  Azimuthal variations are negligible.   This table is a fit to the results shown in Table 3 of </w:t>
      </w:r>
      <w:r w:rsidR="004A3FBE" w:rsidRPr="004A3FBE">
        <w:rPr>
          <w:i/>
        </w:rPr>
        <w:t>KEPLER</w:t>
      </w:r>
      <w:r>
        <w:t>.DFM.TEL.029B.</w:t>
      </w:r>
      <w:bookmarkEnd w:id="95"/>
    </w:p>
    <w:tbl>
      <w:tblPr>
        <w:tblW w:w="2660" w:type="dxa"/>
        <w:jc w:val="center"/>
        <w:tblInd w:w="96" w:type="dxa"/>
        <w:tblLook w:val="0000"/>
      </w:tblPr>
      <w:tblGrid>
        <w:gridCol w:w="1160"/>
        <w:gridCol w:w="1500"/>
      </w:tblGrid>
      <w:tr w:rsidR="00404448" w:rsidRPr="00B70F64">
        <w:trPr>
          <w:trHeight w:val="260"/>
          <w:tblHeader/>
          <w:jc w:val="center"/>
        </w:trPr>
        <w:tc>
          <w:tcPr>
            <w:tcW w:w="1160" w:type="dxa"/>
            <w:tcBorders>
              <w:top w:val="nil"/>
              <w:left w:val="nil"/>
              <w:bottom w:val="nil"/>
              <w:right w:val="nil"/>
            </w:tcBorders>
            <w:shd w:val="clear" w:color="auto" w:fill="auto"/>
            <w:noWrap/>
            <w:vAlign w:val="bottom"/>
          </w:tcPr>
          <w:p w:rsidR="00404448" w:rsidRPr="00B70F64" w:rsidRDefault="00404448" w:rsidP="00404448">
            <w:pPr>
              <w:spacing w:after="0"/>
              <w:rPr>
                <w:rFonts w:ascii="Verdana" w:hAnsi="Verdana"/>
              </w:rPr>
            </w:pPr>
            <w:r w:rsidRPr="00B70F64">
              <w:rPr>
                <w:rFonts w:ascii="Verdana" w:hAnsi="Verdana"/>
              </w:rPr>
              <w:t>Radial</w:t>
            </w:r>
          </w:p>
        </w:tc>
        <w:tc>
          <w:tcPr>
            <w:tcW w:w="1500" w:type="dxa"/>
            <w:tcBorders>
              <w:top w:val="nil"/>
              <w:left w:val="nil"/>
              <w:bottom w:val="nil"/>
              <w:right w:val="nil"/>
            </w:tcBorders>
            <w:shd w:val="clear" w:color="auto" w:fill="auto"/>
            <w:noWrap/>
            <w:vAlign w:val="bottom"/>
          </w:tcPr>
          <w:p w:rsidR="00404448" w:rsidRPr="00B70F64" w:rsidRDefault="00404448" w:rsidP="00404448">
            <w:pPr>
              <w:spacing w:after="0"/>
              <w:jc w:val="center"/>
              <w:rPr>
                <w:rFonts w:ascii="Verdana" w:hAnsi="Verdana"/>
              </w:rPr>
            </w:pPr>
          </w:p>
        </w:tc>
      </w:tr>
      <w:tr w:rsidR="00404448" w:rsidRPr="00B70F64">
        <w:trPr>
          <w:trHeight w:val="260"/>
          <w:tblHeader/>
          <w:jc w:val="center"/>
        </w:trPr>
        <w:tc>
          <w:tcPr>
            <w:tcW w:w="1160" w:type="dxa"/>
            <w:tcBorders>
              <w:top w:val="nil"/>
              <w:left w:val="nil"/>
              <w:bottom w:val="nil"/>
              <w:right w:val="nil"/>
            </w:tcBorders>
            <w:shd w:val="clear" w:color="auto" w:fill="auto"/>
            <w:noWrap/>
            <w:vAlign w:val="bottom"/>
          </w:tcPr>
          <w:p w:rsidR="00404448" w:rsidRPr="00B70F64" w:rsidRDefault="00404448" w:rsidP="00404448">
            <w:pPr>
              <w:spacing w:after="0"/>
              <w:rPr>
                <w:rFonts w:ascii="Verdana" w:hAnsi="Verdana"/>
              </w:rPr>
            </w:pPr>
            <w:r>
              <w:rPr>
                <w:rFonts w:ascii="Verdana" w:hAnsi="Verdana"/>
              </w:rPr>
              <w:t xml:space="preserve">Angle </w:t>
            </w:r>
            <w:r w:rsidRPr="00B70F64">
              <w:rPr>
                <w:rFonts w:ascii="Verdana" w:hAnsi="Verdana"/>
              </w:rPr>
              <w:t>(deg)</w:t>
            </w:r>
          </w:p>
        </w:tc>
        <w:tc>
          <w:tcPr>
            <w:tcW w:w="1500" w:type="dxa"/>
            <w:tcBorders>
              <w:top w:val="nil"/>
              <w:left w:val="nil"/>
              <w:bottom w:val="nil"/>
              <w:right w:val="nil"/>
            </w:tcBorders>
            <w:shd w:val="clear" w:color="auto" w:fill="auto"/>
            <w:noWrap/>
            <w:vAlign w:val="bottom"/>
          </w:tcPr>
          <w:p w:rsidR="00404448" w:rsidRPr="00437B6C" w:rsidRDefault="00404448" w:rsidP="00404448">
            <w:pPr>
              <w:spacing w:after="0"/>
              <w:rPr>
                <w:rFonts w:ascii="Verdana" w:hAnsi="Verdana"/>
              </w:rPr>
            </w:pPr>
            <w:r>
              <w:rPr>
                <w:rFonts w:ascii="Verdana" w:hAnsi="Verdana"/>
              </w:rPr>
              <w:t>f</w:t>
            </w:r>
            <w:r>
              <w:rPr>
                <w:rFonts w:ascii="Verdana" w:hAnsi="Verdana"/>
                <w:vertAlign w:val="subscript"/>
              </w:rPr>
              <w:t>vig</w:t>
            </w:r>
            <w:r>
              <w:rPr>
                <w:rFonts w:ascii="Verdana" w:hAnsi="Verdana"/>
              </w:rPr>
              <w:t xml:space="preserve"> in %</w:t>
            </w:r>
          </w:p>
        </w:tc>
      </w:tr>
      <w:tr w:rsidR="00404448" w:rsidRPr="00B70F64">
        <w:trPr>
          <w:trHeight w:val="260"/>
          <w:jc w:val="center"/>
        </w:trPr>
        <w:tc>
          <w:tcPr>
            <w:tcW w:w="11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B70F64" w:rsidRDefault="00404448" w:rsidP="00404448">
            <w:pPr>
              <w:spacing w:after="0"/>
              <w:jc w:val="right"/>
              <w:rPr>
                <w:rFonts w:ascii="Verdana" w:hAnsi="Verdana"/>
              </w:rPr>
            </w:pPr>
            <w:r w:rsidRPr="00B70F64">
              <w:rPr>
                <w:rFonts w:ascii="Verdana" w:hAnsi="Verdana"/>
              </w:rPr>
              <w:t>0.0</w:t>
            </w:r>
          </w:p>
        </w:tc>
        <w:tc>
          <w:tcPr>
            <w:tcW w:w="15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B70F64" w:rsidRDefault="00404448" w:rsidP="00404448">
            <w:pPr>
              <w:spacing w:after="0"/>
              <w:jc w:val="right"/>
              <w:rPr>
                <w:rFonts w:ascii="Verdana" w:hAnsi="Verdana"/>
              </w:rPr>
            </w:pPr>
            <w:r w:rsidRPr="00B70F64">
              <w:rPr>
                <w:rFonts w:ascii="Verdana" w:hAnsi="Verdana"/>
              </w:rPr>
              <w:t>0.0</w:t>
            </w:r>
          </w:p>
        </w:tc>
      </w:tr>
      <w:tr w:rsidR="00404448" w:rsidRPr="00B70F64">
        <w:trPr>
          <w:trHeight w:val="260"/>
          <w:jc w:val="center"/>
        </w:trPr>
        <w:tc>
          <w:tcPr>
            <w:tcW w:w="11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B70F64" w:rsidRDefault="00404448" w:rsidP="00404448">
            <w:pPr>
              <w:spacing w:after="0"/>
              <w:jc w:val="right"/>
              <w:rPr>
                <w:rFonts w:ascii="Verdana" w:hAnsi="Verdana"/>
              </w:rPr>
            </w:pPr>
            <w:r w:rsidRPr="00B70F64">
              <w:rPr>
                <w:rFonts w:ascii="Verdana" w:hAnsi="Verdana"/>
              </w:rPr>
              <w:t>0.5</w:t>
            </w:r>
          </w:p>
        </w:tc>
        <w:tc>
          <w:tcPr>
            <w:tcW w:w="15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B70F64" w:rsidRDefault="00404448" w:rsidP="00404448">
            <w:pPr>
              <w:spacing w:after="0"/>
              <w:jc w:val="right"/>
              <w:rPr>
                <w:rFonts w:ascii="Verdana" w:hAnsi="Verdana"/>
              </w:rPr>
            </w:pPr>
            <w:r w:rsidRPr="00B70F64">
              <w:rPr>
                <w:rFonts w:ascii="Verdana" w:hAnsi="Verdana"/>
              </w:rPr>
              <w:t>0.1</w:t>
            </w:r>
          </w:p>
        </w:tc>
      </w:tr>
      <w:tr w:rsidR="00404448" w:rsidRPr="00B70F64">
        <w:trPr>
          <w:trHeight w:val="260"/>
          <w:jc w:val="center"/>
        </w:trPr>
        <w:tc>
          <w:tcPr>
            <w:tcW w:w="11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B70F64" w:rsidRDefault="00404448" w:rsidP="00404448">
            <w:pPr>
              <w:spacing w:after="0"/>
              <w:jc w:val="right"/>
              <w:rPr>
                <w:rFonts w:ascii="Verdana" w:hAnsi="Verdana"/>
              </w:rPr>
            </w:pPr>
            <w:r w:rsidRPr="00B70F64">
              <w:rPr>
                <w:rFonts w:ascii="Verdana" w:hAnsi="Verdana"/>
              </w:rPr>
              <w:t>1.0</w:t>
            </w:r>
          </w:p>
        </w:tc>
        <w:tc>
          <w:tcPr>
            <w:tcW w:w="15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B70F64" w:rsidRDefault="00404448" w:rsidP="00404448">
            <w:pPr>
              <w:spacing w:after="0"/>
              <w:jc w:val="right"/>
              <w:rPr>
                <w:rFonts w:ascii="Verdana" w:hAnsi="Verdana"/>
              </w:rPr>
            </w:pPr>
            <w:r w:rsidRPr="00B70F64">
              <w:rPr>
                <w:rFonts w:ascii="Verdana" w:hAnsi="Verdana"/>
              </w:rPr>
              <w:t>0.2</w:t>
            </w:r>
          </w:p>
        </w:tc>
      </w:tr>
      <w:tr w:rsidR="00404448" w:rsidRPr="00B70F64">
        <w:trPr>
          <w:trHeight w:val="260"/>
          <w:jc w:val="center"/>
        </w:trPr>
        <w:tc>
          <w:tcPr>
            <w:tcW w:w="11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B70F64" w:rsidRDefault="00404448" w:rsidP="00404448">
            <w:pPr>
              <w:spacing w:after="0"/>
              <w:jc w:val="right"/>
              <w:rPr>
                <w:rFonts w:ascii="Verdana" w:hAnsi="Verdana"/>
              </w:rPr>
            </w:pPr>
            <w:r w:rsidRPr="00B70F64">
              <w:rPr>
                <w:rFonts w:ascii="Verdana" w:hAnsi="Verdana"/>
              </w:rPr>
              <w:t>1.5</w:t>
            </w:r>
          </w:p>
        </w:tc>
        <w:tc>
          <w:tcPr>
            <w:tcW w:w="15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B70F64" w:rsidRDefault="00404448" w:rsidP="00404448">
            <w:pPr>
              <w:spacing w:after="0"/>
              <w:jc w:val="right"/>
              <w:rPr>
                <w:rFonts w:ascii="Verdana" w:hAnsi="Verdana"/>
              </w:rPr>
            </w:pPr>
            <w:r w:rsidRPr="00B70F64">
              <w:rPr>
                <w:rFonts w:ascii="Verdana" w:hAnsi="Verdana"/>
              </w:rPr>
              <w:t>0.2</w:t>
            </w:r>
          </w:p>
        </w:tc>
      </w:tr>
      <w:tr w:rsidR="00404448" w:rsidRPr="00B70F64">
        <w:trPr>
          <w:trHeight w:val="260"/>
          <w:jc w:val="center"/>
        </w:trPr>
        <w:tc>
          <w:tcPr>
            <w:tcW w:w="11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B70F64" w:rsidRDefault="00404448" w:rsidP="00404448">
            <w:pPr>
              <w:spacing w:after="0"/>
              <w:jc w:val="right"/>
              <w:rPr>
                <w:rFonts w:ascii="Verdana" w:hAnsi="Verdana"/>
              </w:rPr>
            </w:pPr>
            <w:r w:rsidRPr="00B70F64">
              <w:rPr>
                <w:rFonts w:ascii="Verdana" w:hAnsi="Verdana"/>
              </w:rPr>
              <w:t>2.0</w:t>
            </w:r>
          </w:p>
        </w:tc>
        <w:tc>
          <w:tcPr>
            <w:tcW w:w="15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B70F64" w:rsidRDefault="00404448" w:rsidP="00404448">
            <w:pPr>
              <w:spacing w:after="0"/>
              <w:jc w:val="right"/>
              <w:rPr>
                <w:rFonts w:ascii="Verdana" w:hAnsi="Verdana"/>
              </w:rPr>
            </w:pPr>
            <w:r w:rsidRPr="00B70F64">
              <w:rPr>
                <w:rFonts w:ascii="Verdana" w:hAnsi="Verdana"/>
              </w:rPr>
              <w:t>0.3</w:t>
            </w:r>
          </w:p>
        </w:tc>
      </w:tr>
      <w:tr w:rsidR="00404448" w:rsidRPr="00B70F64">
        <w:trPr>
          <w:trHeight w:val="260"/>
          <w:jc w:val="center"/>
        </w:trPr>
        <w:tc>
          <w:tcPr>
            <w:tcW w:w="11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B70F64" w:rsidRDefault="00404448" w:rsidP="00404448">
            <w:pPr>
              <w:spacing w:after="0"/>
              <w:jc w:val="right"/>
              <w:rPr>
                <w:rFonts w:ascii="Verdana" w:hAnsi="Verdana"/>
              </w:rPr>
            </w:pPr>
            <w:r w:rsidRPr="00B70F64">
              <w:rPr>
                <w:rFonts w:ascii="Verdana" w:hAnsi="Verdana"/>
              </w:rPr>
              <w:t>2.5</w:t>
            </w:r>
          </w:p>
        </w:tc>
        <w:tc>
          <w:tcPr>
            <w:tcW w:w="15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B70F64" w:rsidRDefault="00404448" w:rsidP="00404448">
            <w:pPr>
              <w:spacing w:after="0"/>
              <w:jc w:val="right"/>
              <w:rPr>
                <w:rFonts w:ascii="Verdana" w:hAnsi="Verdana"/>
              </w:rPr>
            </w:pPr>
            <w:r w:rsidRPr="00B70F64">
              <w:rPr>
                <w:rFonts w:ascii="Verdana" w:hAnsi="Verdana"/>
              </w:rPr>
              <w:t>0.3</w:t>
            </w:r>
          </w:p>
        </w:tc>
      </w:tr>
      <w:tr w:rsidR="00404448" w:rsidRPr="00B70F64">
        <w:trPr>
          <w:trHeight w:val="260"/>
          <w:jc w:val="center"/>
        </w:trPr>
        <w:tc>
          <w:tcPr>
            <w:tcW w:w="11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B70F64" w:rsidRDefault="00404448" w:rsidP="00404448">
            <w:pPr>
              <w:spacing w:after="0"/>
              <w:jc w:val="right"/>
              <w:rPr>
                <w:rFonts w:ascii="Verdana" w:hAnsi="Verdana"/>
              </w:rPr>
            </w:pPr>
            <w:r w:rsidRPr="00B70F64">
              <w:rPr>
                <w:rFonts w:ascii="Verdana" w:hAnsi="Verdana"/>
              </w:rPr>
              <w:t>3.0</w:t>
            </w:r>
          </w:p>
        </w:tc>
        <w:tc>
          <w:tcPr>
            <w:tcW w:w="15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B70F64" w:rsidRDefault="00404448" w:rsidP="00404448">
            <w:pPr>
              <w:spacing w:after="0"/>
              <w:jc w:val="right"/>
              <w:rPr>
                <w:rFonts w:ascii="Verdana" w:hAnsi="Verdana"/>
              </w:rPr>
            </w:pPr>
            <w:r w:rsidRPr="00B70F64">
              <w:rPr>
                <w:rFonts w:ascii="Verdana" w:hAnsi="Verdana"/>
              </w:rPr>
              <w:t>0.5</w:t>
            </w:r>
          </w:p>
        </w:tc>
      </w:tr>
      <w:tr w:rsidR="00404448" w:rsidRPr="00B70F64">
        <w:trPr>
          <w:trHeight w:val="260"/>
          <w:jc w:val="center"/>
        </w:trPr>
        <w:tc>
          <w:tcPr>
            <w:tcW w:w="11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B70F64" w:rsidRDefault="00404448" w:rsidP="00404448">
            <w:pPr>
              <w:spacing w:after="0"/>
              <w:jc w:val="right"/>
              <w:rPr>
                <w:rFonts w:ascii="Verdana" w:hAnsi="Verdana"/>
              </w:rPr>
            </w:pPr>
            <w:r w:rsidRPr="00B70F64">
              <w:rPr>
                <w:rFonts w:ascii="Verdana" w:hAnsi="Verdana"/>
              </w:rPr>
              <w:t>3.5</w:t>
            </w:r>
          </w:p>
        </w:tc>
        <w:tc>
          <w:tcPr>
            <w:tcW w:w="15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B70F64" w:rsidRDefault="00404448" w:rsidP="00404448">
            <w:pPr>
              <w:spacing w:after="0"/>
              <w:jc w:val="right"/>
              <w:rPr>
                <w:rFonts w:ascii="Verdana" w:hAnsi="Verdana"/>
              </w:rPr>
            </w:pPr>
            <w:r w:rsidRPr="00B70F64">
              <w:rPr>
                <w:rFonts w:ascii="Verdana" w:hAnsi="Verdana"/>
              </w:rPr>
              <w:t>0.5</w:t>
            </w:r>
          </w:p>
        </w:tc>
      </w:tr>
      <w:tr w:rsidR="00404448" w:rsidRPr="00B70F64">
        <w:trPr>
          <w:trHeight w:val="260"/>
          <w:jc w:val="center"/>
        </w:trPr>
        <w:tc>
          <w:tcPr>
            <w:tcW w:w="11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B70F64" w:rsidRDefault="00404448" w:rsidP="00404448">
            <w:pPr>
              <w:spacing w:after="0"/>
              <w:jc w:val="right"/>
              <w:rPr>
                <w:rFonts w:ascii="Verdana" w:hAnsi="Verdana"/>
              </w:rPr>
            </w:pPr>
            <w:r w:rsidRPr="00B70F64">
              <w:rPr>
                <w:rFonts w:ascii="Verdana" w:hAnsi="Verdana"/>
              </w:rPr>
              <w:t>4.0</w:t>
            </w:r>
          </w:p>
        </w:tc>
        <w:tc>
          <w:tcPr>
            <w:tcW w:w="15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B70F64" w:rsidRDefault="00404448" w:rsidP="00404448">
            <w:pPr>
              <w:spacing w:after="0"/>
              <w:jc w:val="right"/>
              <w:rPr>
                <w:rFonts w:ascii="Verdana" w:hAnsi="Verdana"/>
              </w:rPr>
            </w:pPr>
            <w:r w:rsidRPr="00B70F64">
              <w:rPr>
                <w:rFonts w:ascii="Verdana" w:hAnsi="Verdana"/>
              </w:rPr>
              <w:t>0.9</w:t>
            </w:r>
          </w:p>
        </w:tc>
      </w:tr>
      <w:tr w:rsidR="00404448" w:rsidRPr="00B70F64">
        <w:trPr>
          <w:trHeight w:val="260"/>
          <w:jc w:val="center"/>
        </w:trPr>
        <w:tc>
          <w:tcPr>
            <w:tcW w:w="11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B70F64" w:rsidRDefault="00404448" w:rsidP="00404448">
            <w:pPr>
              <w:spacing w:after="0"/>
              <w:jc w:val="right"/>
              <w:rPr>
                <w:rFonts w:ascii="Verdana" w:hAnsi="Verdana"/>
              </w:rPr>
            </w:pPr>
            <w:r w:rsidRPr="00B70F64">
              <w:rPr>
                <w:rFonts w:ascii="Verdana" w:hAnsi="Verdana"/>
              </w:rPr>
              <w:t>4.5</w:t>
            </w:r>
          </w:p>
        </w:tc>
        <w:tc>
          <w:tcPr>
            <w:tcW w:w="15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B70F64" w:rsidRDefault="00404448" w:rsidP="00404448">
            <w:pPr>
              <w:spacing w:after="0"/>
              <w:jc w:val="right"/>
              <w:rPr>
                <w:rFonts w:ascii="Verdana" w:hAnsi="Verdana"/>
              </w:rPr>
            </w:pPr>
            <w:r w:rsidRPr="00B70F64">
              <w:rPr>
                <w:rFonts w:ascii="Verdana" w:hAnsi="Verdana"/>
              </w:rPr>
              <w:t>0.9</w:t>
            </w:r>
          </w:p>
        </w:tc>
      </w:tr>
      <w:tr w:rsidR="00404448" w:rsidRPr="00B70F64">
        <w:trPr>
          <w:trHeight w:val="260"/>
          <w:jc w:val="center"/>
        </w:trPr>
        <w:tc>
          <w:tcPr>
            <w:tcW w:w="11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B70F64" w:rsidRDefault="00404448" w:rsidP="00404448">
            <w:pPr>
              <w:spacing w:after="0"/>
              <w:jc w:val="right"/>
              <w:rPr>
                <w:rFonts w:ascii="Verdana" w:hAnsi="Verdana"/>
              </w:rPr>
            </w:pPr>
            <w:r w:rsidRPr="00B70F64">
              <w:rPr>
                <w:rFonts w:ascii="Verdana" w:hAnsi="Verdana"/>
              </w:rPr>
              <w:t>5.0</w:t>
            </w:r>
          </w:p>
        </w:tc>
        <w:tc>
          <w:tcPr>
            <w:tcW w:w="15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B70F64" w:rsidRDefault="00404448" w:rsidP="00404448">
            <w:pPr>
              <w:spacing w:after="0"/>
              <w:jc w:val="right"/>
              <w:rPr>
                <w:rFonts w:ascii="Verdana" w:hAnsi="Verdana"/>
              </w:rPr>
            </w:pPr>
            <w:r w:rsidRPr="00B70F64">
              <w:rPr>
                <w:rFonts w:ascii="Verdana" w:hAnsi="Verdana"/>
              </w:rPr>
              <w:t>1.2</w:t>
            </w:r>
          </w:p>
        </w:tc>
      </w:tr>
      <w:tr w:rsidR="00404448" w:rsidRPr="00B70F64">
        <w:trPr>
          <w:trHeight w:val="260"/>
          <w:jc w:val="center"/>
        </w:trPr>
        <w:tc>
          <w:tcPr>
            <w:tcW w:w="11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B70F64" w:rsidRDefault="00404448" w:rsidP="00404448">
            <w:pPr>
              <w:spacing w:after="0"/>
              <w:jc w:val="right"/>
              <w:rPr>
                <w:rFonts w:ascii="Verdana" w:hAnsi="Verdana"/>
              </w:rPr>
            </w:pPr>
            <w:r w:rsidRPr="00B70F64">
              <w:rPr>
                <w:rFonts w:ascii="Verdana" w:hAnsi="Verdana"/>
              </w:rPr>
              <w:t>5.5</w:t>
            </w:r>
          </w:p>
        </w:tc>
        <w:tc>
          <w:tcPr>
            <w:tcW w:w="15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B70F64" w:rsidRDefault="00404448" w:rsidP="00404448">
            <w:pPr>
              <w:spacing w:after="0"/>
              <w:jc w:val="right"/>
              <w:rPr>
                <w:rFonts w:ascii="Verdana" w:hAnsi="Verdana"/>
              </w:rPr>
            </w:pPr>
            <w:r w:rsidRPr="00B70F64">
              <w:rPr>
                <w:rFonts w:ascii="Verdana" w:hAnsi="Verdana"/>
              </w:rPr>
              <w:t>2.8</w:t>
            </w:r>
          </w:p>
        </w:tc>
      </w:tr>
      <w:tr w:rsidR="00404448" w:rsidRPr="00B70F64">
        <w:trPr>
          <w:trHeight w:val="260"/>
          <w:jc w:val="center"/>
        </w:trPr>
        <w:tc>
          <w:tcPr>
            <w:tcW w:w="11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B70F64" w:rsidRDefault="00404448" w:rsidP="00404448">
            <w:pPr>
              <w:spacing w:after="0"/>
              <w:jc w:val="right"/>
              <w:rPr>
                <w:rFonts w:ascii="Verdana" w:hAnsi="Verdana"/>
              </w:rPr>
            </w:pPr>
            <w:r w:rsidRPr="00B70F64">
              <w:rPr>
                <w:rFonts w:ascii="Verdana" w:hAnsi="Verdana"/>
              </w:rPr>
              <w:t>6.0</w:t>
            </w:r>
          </w:p>
        </w:tc>
        <w:tc>
          <w:tcPr>
            <w:tcW w:w="15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B70F64" w:rsidRDefault="00404448" w:rsidP="00404448">
            <w:pPr>
              <w:spacing w:after="0"/>
              <w:jc w:val="right"/>
              <w:rPr>
                <w:rFonts w:ascii="Verdana" w:hAnsi="Verdana"/>
              </w:rPr>
            </w:pPr>
            <w:r w:rsidRPr="00B70F64">
              <w:rPr>
                <w:rFonts w:ascii="Verdana" w:hAnsi="Verdana"/>
              </w:rPr>
              <w:t>5.8</w:t>
            </w:r>
          </w:p>
        </w:tc>
      </w:tr>
      <w:tr w:rsidR="00404448" w:rsidRPr="00B70F64">
        <w:trPr>
          <w:trHeight w:val="260"/>
          <w:jc w:val="center"/>
        </w:trPr>
        <w:tc>
          <w:tcPr>
            <w:tcW w:w="11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B70F64" w:rsidRDefault="00404448" w:rsidP="00404448">
            <w:pPr>
              <w:spacing w:after="0"/>
              <w:jc w:val="right"/>
              <w:rPr>
                <w:rFonts w:ascii="Verdana" w:hAnsi="Verdana"/>
              </w:rPr>
            </w:pPr>
            <w:r w:rsidRPr="00B70F64">
              <w:rPr>
                <w:rFonts w:ascii="Verdana" w:hAnsi="Verdana"/>
              </w:rPr>
              <w:t>6.5</w:t>
            </w:r>
          </w:p>
        </w:tc>
        <w:tc>
          <w:tcPr>
            <w:tcW w:w="15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B70F64" w:rsidRDefault="00404448" w:rsidP="00404448">
            <w:pPr>
              <w:spacing w:after="0"/>
              <w:jc w:val="right"/>
              <w:rPr>
                <w:rFonts w:ascii="Verdana" w:hAnsi="Verdana"/>
              </w:rPr>
            </w:pPr>
            <w:r w:rsidRPr="00B70F64">
              <w:rPr>
                <w:rFonts w:ascii="Verdana" w:hAnsi="Verdana"/>
              </w:rPr>
              <w:t>7.6</w:t>
            </w:r>
          </w:p>
        </w:tc>
      </w:tr>
      <w:tr w:rsidR="00404448" w:rsidRPr="00B70F64">
        <w:trPr>
          <w:trHeight w:val="260"/>
          <w:jc w:val="center"/>
        </w:trPr>
        <w:tc>
          <w:tcPr>
            <w:tcW w:w="11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B70F64" w:rsidRDefault="00404448" w:rsidP="00404448">
            <w:pPr>
              <w:spacing w:after="0"/>
              <w:jc w:val="right"/>
              <w:rPr>
                <w:rFonts w:ascii="Verdana" w:hAnsi="Verdana"/>
              </w:rPr>
            </w:pPr>
            <w:r w:rsidRPr="00B70F64">
              <w:rPr>
                <w:rFonts w:ascii="Verdana" w:hAnsi="Verdana"/>
              </w:rPr>
              <w:t>7.0</w:t>
            </w:r>
          </w:p>
        </w:tc>
        <w:tc>
          <w:tcPr>
            <w:tcW w:w="15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B70F64" w:rsidRDefault="00404448" w:rsidP="00404448">
            <w:pPr>
              <w:spacing w:after="0"/>
              <w:jc w:val="right"/>
              <w:rPr>
                <w:rFonts w:ascii="Verdana" w:hAnsi="Verdana"/>
              </w:rPr>
            </w:pPr>
            <w:r w:rsidRPr="00B70F64">
              <w:rPr>
                <w:rFonts w:ascii="Verdana" w:hAnsi="Verdana"/>
              </w:rPr>
              <w:t>10.4</w:t>
            </w:r>
          </w:p>
        </w:tc>
      </w:tr>
    </w:tbl>
    <w:p w:rsidR="00404448" w:rsidRPr="00694332" w:rsidRDefault="00404448" w:rsidP="00404448"/>
    <w:p w:rsidR="00404448" w:rsidRPr="00394F88" w:rsidRDefault="00404448" w:rsidP="00404448">
      <w:pPr>
        <w:pStyle w:val="Heading2"/>
        <w:rPr>
          <w:sz w:val="22"/>
        </w:rPr>
      </w:pPr>
      <w:bookmarkStart w:id="96" w:name="_Ref108500854"/>
      <w:bookmarkStart w:id="97" w:name="_Toc322942168"/>
      <w:r w:rsidRPr="00394F88">
        <w:rPr>
          <w:sz w:val="22"/>
        </w:rPr>
        <w:t>Pointing Requirements and Performance</w:t>
      </w:r>
      <w:bookmarkEnd w:id="96"/>
      <w:bookmarkEnd w:id="97"/>
    </w:p>
    <w:p w:rsidR="00404448" w:rsidRDefault="00404448" w:rsidP="00404448">
      <w:r>
        <w:t>Pointing error</w:t>
      </w:r>
      <w:r w:rsidRPr="00FE520E">
        <w:t xml:space="preserve"> is the movement of the t</w:t>
      </w:r>
      <w:r>
        <w:t>elescope Line of Sight (LOS) over time.  The square of the Fourier transform of the point</w:t>
      </w:r>
      <w:r w:rsidR="00B97CE5">
        <w:t>ing time series gives the pointing error</w:t>
      </w:r>
      <w:r>
        <w:t xml:space="preserve"> Power Spectral Density (PSD), and the square root of the integral of the PSD for all frequencies &lt; </w:t>
      </w:r>
      <w:r>
        <w:sym w:font="Symbol" w:char="F06E"/>
      </w:r>
      <w:r>
        <w:rPr>
          <w:vertAlign w:val="subscript"/>
        </w:rPr>
        <w:t>LOS</w:t>
      </w:r>
      <w:r w:rsidR="001869B3">
        <w:t xml:space="preserve"> is referred to as the RS</w:t>
      </w:r>
      <w:r>
        <w:t xml:space="preserve">S forward sum at </w:t>
      </w:r>
      <w:r>
        <w:sym w:font="Symbol" w:char="F06E"/>
      </w:r>
      <w:r>
        <w:rPr>
          <w:vertAlign w:val="subscript"/>
        </w:rPr>
        <w:t>LOS</w:t>
      </w:r>
      <w:r>
        <w:t>.  It is conv</w:t>
      </w:r>
      <w:r w:rsidR="004868DE">
        <w:t>enient to discuss the PSD and RS</w:t>
      </w:r>
      <w:r>
        <w:t>S forward sum at frequencies greater than that of one LC (2 hr</w:t>
      </w:r>
      <w:r>
        <w:rPr>
          <w:vertAlign w:val="superscript"/>
        </w:rPr>
        <w:t>-1</w:t>
      </w:r>
      <w:r>
        <w:t>) as jitter, which is temporally unresolved in the r</w:t>
      </w:r>
      <w:r w:rsidR="004868DE">
        <w:t>eturned LC science data.  The RS</w:t>
      </w:r>
      <w:r>
        <w:t xml:space="preserve">S forward sum for </w:t>
      </w:r>
      <w:r>
        <w:sym w:font="Symbol" w:char="F06E"/>
      </w:r>
      <w:r>
        <w:rPr>
          <w:vertAlign w:val="subscript"/>
        </w:rPr>
        <w:t>LOS</w:t>
      </w:r>
      <w:r>
        <w:t xml:space="preserve"> &lt; 2 hr</w:t>
      </w:r>
      <w:r>
        <w:rPr>
          <w:vertAlign w:val="superscript"/>
        </w:rPr>
        <w:t>-1</w:t>
      </w:r>
      <w:r>
        <w:t xml:space="preserve"> is called drift, which may be corrected to some extent in the data analysis software.  Jitter is convolved with the optical PSF to estimate the LC-averaged PSF incident on the focal plane.</w:t>
      </w:r>
      <w:r w:rsidR="00E57AAD">
        <w:t xml:space="preserve">  </w:t>
      </w:r>
      <w:r w:rsidR="004C78B9">
        <w:fldChar w:fldCharType="begin"/>
      </w:r>
      <w:r w:rsidR="00E57AAD">
        <w:instrText xml:space="preserve"> REF _Ref106270158 \h </w:instrText>
      </w:r>
      <w:r w:rsidR="004C78B9">
        <w:fldChar w:fldCharType="separate"/>
      </w:r>
      <w:r w:rsidR="000D2EB4">
        <w:t xml:space="preserve">Figure </w:t>
      </w:r>
      <w:r w:rsidR="000D2EB4">
        <w:rPr>
          <w:noProof/>
        </w:rPr>
        <w:t>18</w:t>
      </w:r>
      <w:r w:rsidR="004C78B9">
        <w:fldChar w:fldCharType="end"/>
      </w:r>
      <w:r w:rsidR="00E57AAD">
        <w:t xml:space="preserve"> shows the s</w:t>
      </w:r>
      <w:r w:rsidR="00E57AAD" w:rsidRPr="00E57AAD">
        <w:t>pacecraft reported attitud</w:t>
      </w:r>
      <w:r w:rsidR="00E57AAD">
        <w:t xml:space="preserve">e error from Q5.  The motion of a science target </w:t>
      </w:r>
      <w:r w:rsidR="00F000FF">
        <w:t xml:space="preserve">in </w:t>
      </w:r>
      <w:r w:rsidR="00E57AAD">
        <w:t>the Kepler focal plane also includes DVA (§</w:t>
      </w:r>
      <w:r w:rsidR="004C78B9">
        <w:fldChar w:fldCharType="begin"/>
      </w:r>
      <w:r w:rsidR="00E57AAD">
        <w:instrText xml:space="preserve"> REF _Ref205892689 \r \h </w:instrText>
      </w:r>
      <w:r w:rsidR="004C78B9">
        <w:fldChar w:fldCharType="separate"/>
      </w:r>
      <w:r w:rsidR="000D2EB4">
        <w:t>3.9</w:t>
      </w:r>
      <w:r w:rsidR="004C78B9">
        <w:fldChar w:fldCharType="end"/>
      </w:r>
      <w:r w:rsidR="00E57AAD">
        <w:t xml:space="preserve">), thermally-induced focus changes (DCH §5.2), and </w:t>
      </w:r>
      <w:r w:rsidR="00F000FF">
        <w:t xml:space="preserve">systematic ADCS errors from </w:t>
      </w:r>
      <w:r w:rsidR="00E57AAD">
        <w:t>variable guide stars (DCH §4.5)</w:t>
      </w:r>
      <w:r w:rsidR="00F000FF">
        <w:t>.</w:t>
      </w:r>
    </w:p>
    <w:p w:rsidR="00404448" w:rsidRPr="00E5385B" w:rsidRDefault="00412137" w:rsidP="00404448">
      <w:r>
        <w:t>T</w:t>
      </w:r>
      <w:r w:rsidR="003745FF">
        <w:t xml:space="preserve">he actual </w:t>
      </w:r>
      <w:r w:rsidR="00404448">
        <w:t xml:space="preserve">performance of the ADCS </w:t>
      </w:r>
      <w:r w:rsidR="003745FF">
        <w:t>(</w:t>
      </w:r>
      <w:r w:rsidR="004C78B9">
        <w:fldChar w:fldCharType="begin"/>
      </w:r>
      <w:r w:rsidR="003745FF">
        <w:instrText xml:space="preserve"> REF _Ref106270158 \h </w:instrText>
      </w:r>
      <w:r w:rsidR="004C78B9">
        <w:fldChar w:fldCharType="separate"/>
      </w:r>
      <w:r w:rsidR="000D2EB4">
        <w:t xml:space="preserve">Figure </w:t>
      </w:r>
      <w:r w:rsidR="000D2EB4">
        <w:rPr>
          <w:noProof/>
        </w:rPr>
        <w:t>18</w:t>
      </w:r>
      <w:r w:rsidR="004C78B9">
        <w:fldChar w:fldCharType="end"/>
      </w:r>
      <w:r w:rsidR="003745FF">
        <w:t>) has a</w:t>
      </w:r>
      <w:r w:rsidR="00DC7B47">
        <w:t xml:space="preserve"> </w:t>
      </w:r>
      <w:r w:rsidR="009F4910">
        <w:t>99</w:t>
      </w:r>
      <w:r w:rsidR="009F4910" w:rsidRPr="009F4910">
        <w:rPr>
          <w:vertAlign w:val="superscript"/>
        </w:rPr>
        <w:t>th</w:t>
      </w:r>
      <w:r w:rsidR="009F4910">
        <w:t xml:space="preserve"> percentile </w:t>
      </w:r>
      <w:r w:rsidR="00DC7B47">
        <w:t>jitter &lt; 0.13 arcsec = 32</w:t>
      </w:r>
      <w:r w:rsidR="00404448">
        <w:t xml:space="preserve"> mpix, 3-σ single-axis.  Since the jitter is RSS’d with the optical PSF, to a first approximation, the contribution to the PRF is negligible.  If the jitter were constant in time, then there would be no noise contribution to the photometr</w:t>
      </w:r>
      <w:r w:rsidR="0035254D">
        <w:t>y.  In reality, the jitter varies</w:t>
      </w:r>
      <w:r w:rsidR="00404448">
        <w:t xml:space="preserve"> with the state of the reaction wheels used to maintain attitude, be</w:t>
      </w:r>
      <w:r w:rsidR="00CB243F">
        <w:t xml:space="preserve">coming larger as a resonance </w:t>
      </w:r>
      <w:r w:rsidR="00404448">
        <w:t>between the rotational speed of a reaction wheel and the fundamental mechanical mode frequency of the Primary Mirror A</w:t>
      </w:r>
      <w:r w:rsidR="00CB243F">
        <w:t xml:space="preserve">ssembly </w:t>
      </w:r>
      <w:r w:rsidR="00404448">
        <w:t>is approached. Therefore, precise Differential Image Analysis may need to take account of the momentum state of the Flight System at the time of</w:t>
      </w:r>
      <w:r w:rsidR="006775F8">
        <w:t xml:space="preserve"> the observations being analyzed</w:t>
      </w:r>
      <w:r w:rsidR="00752566">
        <w:t>.</w:t>
      </w:r>
      <w:r w:rsidR="00404448">
        <w:rPr>
          <w:szCs w:val="18"/>
        </w:rPr>
        <w:t xml:space="preserve">  </w:t>
      </w:r>
    </w:p>
    <w:p w:rsidR="00404448" w:rsidRDefault="0035254D" w:rsidP="00404448">
      <w:r>
        <w:t>The drift h</w:t>
      </w:r>
      <w:r w:rsidR="00404448">
        <w:t>andily meet</w:t>
      </w:r>
      <w:r>
        <w:t>s</w:t>
      </w:r>
      <w:r w:rsidR="00404448">
        <w:t xml:space="preserve"> its specification of 0.009 arc</w:t>
      </w:r>
      <w:r w:rsidR="00404448" w:rsidRPr="0010638B">
        <w:t xml:space="preserve">sec </w:t>
      </w:r>
      <w:r w:rsidR="00404448">
        <w:t xml:space="preserve">= 2.3 mpix, </w:t>
      </w:r>
      <w:r w:rsidR="00404448" w:rsidRPr="0010638B">
        <w:t>3</w:t>
      </w:r>
      <w:r w:rsidR="00404448">
        <w:t>-</w:t>
      </w:r>
      <w:r w:rsidR="00404448" w:rsidRPr="0010638B">
        <w:t>σ</w:t>
      </w:r>
      <w:r w:rsidR="00404448">
        <w:t xml:space="preserve"> single-axis, once variable stars and eclipsing binaries </w:t>
      </w:r>
      <w:r w:rsidR="006775F8">
        <w:t xml:space="preserve">were </w:t>
      </w:r>
      <w:r w:rsidR="00404448">
        <w:t>rem</w:t>
      </w:r>
      <w:r w:rsidR="006775F8">
        <w:t>oved from the list of FGS stars (DCH §4.5).</w:t>
      </w:r>
      <w:r w:rsidR="00404448">
        <w:t xml:space="preserve">  </w:t>
      </w:r>
    </w:p>
    <w:p w:rsidR="00404448" w:rsidRDefault="00AE3BFC" w:rsidP="00404448">
      <w:pPr>
        <w:keepNext/>
      </w:pPr>
      <w:r>
        <w:rPr>
          <w:noProof/>
        </w:rPr>
        <w:drawing>
          <wp:inline distT="0" distB="0" distL="0" distR="0">
            <wp:extent cx="5943600" cy="3171190"/>
            <wp:effectExtent l="25400" t="0" r="0" b="0"/>
            <wp:docPr id="3" name="Picture 2" descr="q5_att_rssfs.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5_att_rssfs.eps"/>
                    <pic:cNvPicPr/>
                  </pic:nvPicPr>
                  <ve:AlternateContent xmlns:ma="http://schemas.microsoft.com/office/mac/drawingml/2008/main">
                    <ve:Choice Requires="ma">
                      <pic:blipFill>
                        <a:blip r:embed="rId35"/>
                        <a:stretch>
                          <a:fillRect/>
                        </a:stretch>
                      </pic:blipFill>
                    </ve:Choice>
                    <ve:Fallback xmlns:pic="http://schemas.openxmlformats.org/drawingml/2006/picture" xmlns:a="http://schemas.openxmlformats.org/drawingml/2006/main" xmlns:wne="http://schemas.microsoft.com/office/word/2006/wordml" xmlns:w="http://schemas.openxmlformats.org/wordprocessingml/2006/main" xmlns:w10="urn:schemas-microsoft-com:office:word" xmlns:wp="http://schemas.openxmlformats.org/drawingml/2006/wordprocessingDrawing" xmlns:v="urn:schemas-microsoft-com:vml" xmlns:m="http://schemas.openxmlformats.org/officeDocument/2006/math" xmlns:r="http://schemas.openxmlformats.org/officeDocument/2006/relationships" xmlns:o="urn:schemas-microsoft-com:office:office" xmlns:mv="urn:schemas-microsoft-com:mac:vml" xmlns:ve="http://schemas.openxmlformats.org/markup-compatibility/2006" xmlns:mo="http://schemas.microsoft.com/office/mac/office/2008/main" xmlns="" xmlns:ma="http://schemas.microsoft.com/office/mac/drawingml/2008/main">
                      <pic:blipFill>
                        <a:blip r:embed="rId39"/>
                        <a:stretch>
                          <a:fillRect/>
                        </a:stretch>
                      </pic:blipFill>
                    </ve:Fallback>
                  </ve:AlternateContent>
                  <pic:spPr>
                    <a:xfrm>
                      <a:off x="0" y="0"/>
                      <a:ext cx="5943600" cy="3171190"/>
                    </a:xfrm>
                    <a:prstGeom prst="rect">
                      <a:avLst/>
                    </a:prstGeom>
                  </pic:spPr>
                </pic:pic>
              </a:graphicData>
            </a:graphic>
          </wp:inline>
        </w:drawing>
      </w:r>
    </w:p>
    <w:p w:rsidR="00404448" w:rsidRPr="007F363F" w:rsidRDefault="00404448" w:rsidP="00404448">
      <w:pPr>
        <w:pStyle w:val="Caption"/>
      </w:pPr>
      <w:bookmarkStart w:id="98" w:name="_Ref106270158"/>
      <w:bookmarkStart w:id="99" w:name="_Toc322942248"/>
      <w:r>
        <w:t xml:space="preserve">Figure </w:t>
      </w:r>
      <w:fldSimple w:instr=" SEQ Figure \* ARABIC ">
        <w:r w:rsidR="000D2EB4">
          <w:rPr>
            <w:noProof/>
          </w:rPr>
          <w:t>18</w:t>
        </w:r>
      </w:fldSimple>
      <w:bookmarkEnd w:id="98"/>
      <w:r w:rsidR="00AE3BFC">
        <w:t xml:space="preserve">: Spacecraft reported attitude error from Q5, </w:t>
      </w:r>
      <w:r w:rsidRPr="007F363F">
        <w:t>3</w:t>
      </w:r>
      <w:r w:rsidRPr="007F363F">
        <w:sym w:font="Symbol" w:char="F073"/>
      </w:r>
      <w:r w:rsidRPr="007F363F">
        <w:t xml:space="preserve"> single-axis.  </w:t>
      </w:r>
      <w:r w:rsidR="00AE3BFC">
        <w:t xml:space="preserve">Cadence sampling frequencies are marked as vertical magenta lines.  </w:t>
      </w:r>
      <w:r>
        <w:t>For each type of cadence, motion in the region to the left of the marker is referred to as “drift”, and to the right of the marker as “jitter.”</w:t>
      </w:r>
      <w:r w:rsidR="00AE3BFC">
        <w:t xml:space="preserve">  Dashed lines </w:t>
      </w:r>
      <w:r w:rsidR="004116C6">
        <w:t xml:space="preserve">connect the effective frequency limit of 40 s average data to the 40 s moving standard deviation </w:t>
      </w:r>
      <w:r w:rsidR="003A2533">
        <w:t xml:space="preserve">of 10 Hz </w:t>
      </w:r>
      <w:r w:rsidR="004116C6">
        <w:t>data.</w:t>
      </w:r>
      <w:bookmarkEnd w:id="99"/>
      <w:r w:rsidR="003A2533">
        <w:t xml:space="preserve"> </w:t>
      </w:r>
    </w:p>
    <w:p w:rsidR="00404448" w:rsidRPr="00394F88" w:rsidRDefault="00404448" w:rsidP="00404448">
      <w:pPr>
        <w:pStyle w:val="Heading2"/>
        <w:rPr>
          <w:sz w:val="22"/>
        </w:rPr>
      </w:pPr>
      <w:bookmarkStart w:id="100" w:name="_Ref205892667"/>
      <w:bookmarkStart w:id="101" w:name="_Toc322942169"/>
      <w:r w:rsidRPr="00394F88">
        <w:rPr>
          <w:sz w:val="22"/>
        </w:rPr>
        <w:t>Optical Field Angle Distortion (OFAD)</w:t>
      </w:r>
      <w:bookmarkEnd w:id="100"/>
      <w:bookmarkEnd w:id="101"/>
    </w:p>
    <w:p w:rsidR="00404448" w:rsidRPr="00DB34EE" w:rsidRDefault="00404448" w:rsidP="00404448">
      <w:r>
        <w:t xml:space="preserve">If an optical system has distortion, then a square lattice of field points is not imaged on to a square lattice at the focal surface.  The edges of the reimaged square are convex for barrel distortion, and the reimaged edges are concave for pincushion distortion.  To first order, a Schmidt camera is free of distortion.  However, the pincushion distortion introduced by the field flattener lens </w:t>
      </w:r>
      <w:r w:rsidRPr="004772F0">
        <w:t>is 0.05%, corresponding to roughly 0.5 pixels in 1000 or 0.7 p</w:t>
      </w:r>
      <w:r>
        <w:t xml:space="preserve">ixels at the corner of a module (Dunham, 2009).  Since this effect is large enough to cause aperture calculations to be off by a pixel, distortion is included in the </w:t>
      </w:r>
      <w:r w:rsidR="00AB368C">
        <w:t>focal plane geometry model (KAM §2.3.5.16) which, along with the pointing and roll-time models</w:t>
      </w:r>
      <w:r w:rsidR="000D4DD5">
        <w:t xml:space="preserve"> (KAM §2.3.5.14 and §2.3.5.15)</w:t>
      </w:r>
      <w:r w:rsidR="00AB368C">
        <w:t xml:space="preserve">, </w:t>
      </w:r>
      <w:r>
        <w:t>converts sky to pixel coordinates (</w:t>
      </w:r>
      <w:r w:rsidR="00E607E6">
        <w:t>§</w:t>
      </w:r>
      <w:r w:rsidR="004C78B9">
        <w:fldChar w:fldCharType="begin"/>
      </w:r>
      <w:r w:rsidR="00C903B6">
        <w:instrText xml:space="preserve"> REF _Ref205961087 \r \h </w:instrText>
      </w:r>
      <w:r w:rsidR="004C78B9">
        <w:fldChar w:fldCharType="separate"/>
      </w:r>
      <w:r w:rsidR="000D2EB4">
        <w:t>7.6</w:t>
      </w:r>
      <w:r w:rsidR="004C78B9">
        <w:fldChar w:fldCharType="end"/>
      </w:r>
      <w:r>
        <w:t>).</w:t>
      </w:r>
    </w:p>
    <w:p w:rsidR="00404448" w:rsidRPr="00394F88" w:rsidRDefault="00404448" w:rsidP="00404448">
      <w:pPr>
        <w:pStyle w:val="Heading2"/>
        <w:rPr>
          <w:sz w:val="22"/>
        </w:rPr>
      </w:pPr>
      <w:bookmarkStart w:id="102" w:name="_Ref205892689"/>
      <w:bookmarkStart w:id="103" w:name="_Toc322942170"/>
      <w:r w:rsidRPr="00394F88">
        <w:rPr>
          <w:sz w:val="22"/>
        </w:rPr>
        <w:t>Differential Velocity Aberration</w:t>
      </w:r>
      <w:bookmarkEnd w:id="102"/>
      <w:bookmarkEnd w:id="103"/>
    </w:p>
    <w:p w:rsidR="00404448" w:rsidRPr="00CC023F" w:rsidRDefault="00404448" w:rsidP="00404448">
      <w:r>
        <w:t>V</w:t>
      </w:r>
      <w:r w:rsidRPr="00CC023F">
        <w:t>elocity aberration arises as a</w:t>
      </w:r>
      <w:r>
        <w:t xml:space="preserve"> result the angle defined by the </w:t>
      </w:r>
      <w:r w:rsidR="004A3FBE" w:rsidRPr="004A3FBE">
        <w:rPr>
          <w:i/>
        </w:rPr>
        <w:t>Kepler</w:t>
      </w:r>
      <w:r w:rsidRPr="00CC023F">
        <w:t xml:space="preserve"> velocity vector and the line</w:t>
      </w:r>
      <w:r>
        <w:t xml:space="preserve"> of sight to targets in the </w:t>
      </w:r>
      <w:r w:rsidRPr="00CC023F">
        <w:t xml:space="preserve">FOV. </w:t>
      </w:r>
      <w:r>
        <w:t xml:space="preserve">Differential Velocity Aberration (DVA) is a result of the large </w:t>
      </w:r>
      <w:r w:rsidR="004A3FBE" w:rsidRPr="004A3FBE">
        <w:rPr>
          <w:i/>
        </w:rPr>
        <w:t>Kepler</w:t>
      </w:r>
      <w:r>
        <w:t xml:space="preserve"> FOV, as the velocity to line of sight angle varies significantly across the focal plane.  As a result, the diameter of the FOV “breathes” by 6 arcsec on an annual basis, with a sine dependence on ecliptic latitude.  So even while the FGS sensors are holding the attitude constant, t</w:t>
      </w:r>
      <w:r w:rsidRPr="00CC023F">
        <w:t xml:space="preserve">he </w:t>
      </w:r>
      <w:r>
        <w:t xml:space="preserve">relative </w:t>
      </w:r>
      <w:r w:rsidRPr="00CC023F">
        <w:t xml:space="preserve">positions </w:t>
      </w:r>
      <w:r>
        <w:t xml:space="preserve">of targets will move around as </w:t>
      </w:r>
      <w:r w:rsidR="004A3FBE" w:rsidRPr="004A3FBE">
        <w:rPr>
          <w:i/>
        </w:rPr>
        <w:t>Kepler</w:t>
      </w:r>
      <w:r>
        <w:t xml:space="preserve"> orbits the Sun, and must be corrected.  In comparison, the 3</w:t>
      </w:r>
      <w:r>
        <w:sym w:font="Symbol" w:char="F073"/>
      </w:r>
      <w:r>
        <w:t xml:space="preserve"> single-axis pointing stability (drift) is 2.3 mpix, or about 100x less than this.  Low frequency noise is introduced into the photometric time series by image drift within the target aperture, which since it is differential, cannot be corrected by the ADCS.  However, since DVA changes on a time scale greater than that of a transit, these trends can be removed by data analysis software.</w:t>
      </w:r>
    </w:p>
    <w:p w:rsidR="00404448" w:rsidRPr="00394F88" w:rsidRDefault="00404448" w:rsidP="00404448">
      <w:pPr>
        <w:pStyle w:val="Heading2"/>
        <w:rPr>
          <w:sz w:val="22"/>
        </w:rPr>
      </w:pPr>
      <w:bookmarkStart w:id="104" w:name="_Ref108779873"/>
      <w:bookmarkStart w:id="105" w:name="_Ref109034253"/>
      <w:bookmarkStart w:id="106" w:name="_Toc322942171"/>
      <w:r w:rsidRPr="00394F88">
        <w:rPr>
          <w:sz w:val="22"/>
        </w:rPr>
        <w:t>Ghost Images and Scattered Light</w:t>
      </w:r>
      <w:bookmarkEnd w:id="104"/>
      <w:bookmarkEnd w:id="105"/>
      <w:bookmarkEnd w:id="106"/>
    </w:p>
    <w:p w:rsidR="00404448" w:rsidRDefault="00404448" w:rsidP="00404448">
      <w:r>
        <w:t xml:space="preserve">A ghost image results from multiple reflections off optical surfaces, and is reimaged (though possibly out of focus) on the CCD.  Ghosts can be a considerable distance away from their source image in the focal plane, depending on the reflecting surface and its geometry. Scattered light, on the other hand, results from the deviation of optical surfaces from perfect specularity, as described by the bidirectional reflection factor (BRF).  The part of the BRF near specularity causes near-axis scattered light, which may be considered a perturbation to the PRF, while the part of the BRF far from specularity causes a diffuse glow across the focal plane, which contributes to shot noise.  Scattered light can also occur when light strikes a faceted surface.  The following sources of ghosts and scattered light may be found in </w:t>
      </w:r>
      <w:r w:rsidR="004A3FBE" w:rsidRPr="004A3FBE">
        <w:rPr>
          <w:i/>
        </w:rPr>
        <w:t>Kepler</w:t>
      </w:r>
      <w:r>
        <w:t xml:space="preserve"> data:</w:t>
      </w:r>
    </w:p>
    <w:p w:rsidR="00404448" w:rsidRPr="00A03C2F" w:rsidRDefault="00404448" w:rsidP="00404448">
      <w:r>
        <w:t>1.  The Schmidt Corrector Ghost</w:t>
      </w:r>
      <w:r w:rsidRPr="00A03C2F">
        <w:t xml:space="preserve"> </w:t>
      </w:r>
      <w:r>
        <w:t xml:space="preserve">has a FWHM comparable to that of the PSF, </w:t>
      </w:r>
      <w:r w:rsidRPr="00A03C2F">
        <w:t>and is locate</w:t>
      </w:r>
      <w:r>
        <w:t>d opposite the source image, with respect to the</w:t>
      </w:r>
      <w:r w:rsidR="00CE0680">
        <w:t xml:space="preserve"> optical axis of the telescope</w:t>
      </w:r>
      <w:r>
        <w:t xml:space="preserve">.  </w:t>
      </w:r>
      <w:r w:rsidRPr="00A03C2F">
        <w:t xml:space="preserve">Since </w:t>
      </w:r>
      <w:r>
        <w:t>the ghost is separated from the source and has a</w:t>
      </w:r>
      <w:r w:rsidRPr="00A03C2F">
        <w:t xml:space="preserve"> relative flux as high as 3</w:t>
      </w:r>
      <w:r>
        <w:t>x1</w:t>
      </w:r>
      <w:r w:rsidRPr="00A03C2F">
        <w:t>0</w:t>
      </w:r>
      <w:r w:rsidRPr="00A03C2F">
        <w:rPr>
          <w:vertAlign w:val="superscript"/>
        </w:rPr>
        <w:t>-4</w:t>
      </w:r>
      <w:r>
        <w:t>, it can be responsible for false positives, if there is a time-varying source at the opposite field point.  The opposite field point must then be examined for bright, time-varying objects such as eclipsing binary stars.  Though detectable, it is less important by an order of magnitude than the video crosstalk within a module (</w:t>
      </w:r>
      <w:r w:rsidR="00E607E6">
        <w:t>§</w:t>
      </w:r>
      <w:r w:rsidR="004C78B9">
        <w:fldChar w:fldCharType="begin"/>
      </w:r>
      <w:r w:rsidR="00C903B6">
        <w:instrText xml:space="preserve"> REF _Ref205716616 \r \h </w:instrText>
      </w:r>
      <w:r w:rsidR="004C78B9">
        <w:fldChar w:fldCharType="separate"/>
      </w:r>
      <w:r w:rsidR="000D2EB4">
        <w:t>6.2.2</w:t>
      </w:r>
      <w:r w:rsidR="004C78B9">
        <w:fldChar w:fldCharType="end"/>
      </w:r>
      <w:r>
        <w:t>).</w:t>
      </w:r>
    </w:p>
    <w:p w:rsidR="00404448" w:rsidRDefault="00404448" w:rsidP="00404448">
      <w:r>
        <w:t>2.  Scattered light from bright stars is produced by the edge of the aluminum module mask (</w:t>
      </w:r>
      <w:r w:rsidR="00E607E6">
        <w:t>§</w:t>
      </w:r>
      <w:r w:rsidR="004C78B9">
        <w:fldChar w:fldCharType="begin"/>
      </w:r>
      <w:r w:rsidR="00C903B6">
        <w:instrText xml:space="preserve"> REF _Ref205714480 \r \h </w:instrText>
      </w:r>
      <w:r w:rsidR="004C78B9">
        <w:fldChar w:fldCharType="separate"/>
      </w:r>
      <w:r w:rsidR="000D2EB4">
        <w:t>4.2</w:t>
      </w:r>
      <w:r w:rsidR="004C78B9">
        <w:fldChar w:fldCharType="end"/>
      </w:r>
      <w:r>
        <w:t>).  This kind of ghost is only detectable near mask edges.</w:t>
      </w:r>
    </w:p>
    <w:p w:rsidR="00404448" w:rsidRDefault="00404448" w:rsidP="00404448">
      <w:r>
        <w:t>3.  Scattered light from bright stars is produced near the gap between the two CCD chips which comprise a science module.  This is predicted to be insignificant.</w:t>
      </w:r>
    </w:p>
    <w:p w:rsidR="00404448" w:rsidRDefault="00404448" w:rsidP="00404448">
      <w:r>
        <w:t xml:space="preserve">4.  Ghosts from very bright stars, in which light bounces off the CCD, reflects off the field-flattener, and returns to the CCD forming a large out-of-focus image of the pupil.  See the rightmost panel of </w:t>
      </w:r>
      <w:r w:rsidR="004C78B9">
        <w:fldChar w:fldCharType="begin"/>
      </w:r>
      <w:r w:rsidR="00C903B6">
        <w:instrText xml:space="preserve"> REF _Ref105669585 \h </w:instrText>
      </w:r>
      <w:r w:rsidR="004C78B9">
        <w:fldChar w:fldCharType="separate"/>
      </w:r>
      <w:r w:rsidR="000D2EB4">
        <w:t xml:space="preserve">Figure </w:t>
      </w:r>
      <w:r w:rsidR="000D2EB4">
        <w:rPr>
          <w:noProof/>
        </w:rPr>
        <w:t>38</w:t>
      </w:r>
      <w:r w:rsidR="004C78B9">
        <w:fldChar w:fldCharType="end"/>
      </w:r>
      <w:r>
        <w:t xml:space="preserve"> for an example.</w:t>
      </w:r>
    </w:p>
    <w:p w:rsidR="00404448" w:rsidRDefault="00404448" w:rsidP="00404448">
      <w:r>
        <w:t>5.  Diffuse scattered light.  This was required to be negligible compared to the natural background, and shown to be so by modeling and measurement.</w:t>
      </w:r>
    </w:p>
    <w:p w:rsidR="00404448" w:rsidRPr="000E7646" w:rsidRDefault="00404448" w:rsidP="00404448">
      <w:r>
        <w:t>Stray light was measured during Photometer testing</w:t>
      </w:r>
      <w:r w:rsidR="002B0BDD">
        <w:t xml:space="preserve"> and the first year of flight (Caldwell </w:t>
      </w:r>
      <w:r w:rsidR="002B0BDD" w:rsidRPr="00770FC8">
        <w:rPr>
          <w:i/>
        </w:rPr>
        <w:t>et al.</w:t>
      </w:r>
      <w:r w:rsidR="002B0BDD">
        <w:t>, 2010)</w:t>
      </w:r>
      <w:r>
        <w:t xml:space="preserve">.  No stray light in excess of that modeled was found.  </w:t>
      </w:r>
    </w:p>
    <w:p w:rsidR="00404448" w:rsidRDefault="00404448" w:rsidP="00404448">
      <w:pPr>
        <w:pStyle w:val="Heading1"/>
      </w:pPr>
      <w:bookmarkStart w:id="107" w:name="_Ref202070603"/>
      <w:bookmarkStart w:id="108" w:name="_Toc322942172"/>
      <w:r>
        <w:t>Detector Properties</w:t>
      </w:r>
      <w:bookmarkEnd w:id="107"/>
      <w:bookmarkEnd w:id="108"/>
    </w:p>
    <w:p w:rsidR="00404448" w:rsidRPr="00394F88" w:rsidRDefault="00404448" w:rsidP="00404448">
      <w:pPr>
        <w:pStyle w:val="Heading2"/>
        <w:rPr>
          <w:sz w:val="22"/>
        </w:rPr>
      </w:pPr>
      <w:bookmarkStart w:id="109" w:name="_Toc322942173"/>
      <w:r w:rsidRPr="00394F88">
        <w:rPr>
          <w:sz w:val="22"/>
        </w:rPr>
        <w:t>CCD Architecture</w:t>
      </w:r>
      <w:bookmarkEnd w:id="109"/>
    </w:p>
    <w:p w:rsidR="00404448" w:rsidRPr="00EE29E5" w:rsidRDefault="00404448" w:rsidP="00404448">
      <w:r>
        <w:t>The CCDs are full frame, thinned, back illuminated, anti-reflection coated, 4-phase, dual output, 2200x1044 pixel line-transfer devices.</w:t>
      </w:r>
      <w:r w:rsidRPr="004115A5">
        <w:t xml:space="preserve"> </w:t>
      </w:r>
      <w:r w:rsidRPr="00EE29E5">
        <w:t>A readout amplifier is located on both ends of the serial register and during normal o</w:t>
      </w:r>
      <w:r w:rsidR="00E24D34">
        <w:t>peration one half of</w:t>
      </w:r>
      <w:r>
        <w:t xml:space="preserve"> each </w:t>
      </w:r>
      <w:r w:rsidRPr="00EE29E5">
        <w:t>science</w:t>
      </w:r>
      <w:r>
        <w:t xml:space="preserve"> CCD is read out by a single output, as shown in </w:t>
      </w:r>
      <w:r w:rsidR="004C78B9">
        <w:fldChar w:fldCharType="begin"/>
      </w:r>
      <w:r w:rsidR="00C903B6">
        <w:instrText xml:space="preserve"> REF _Ref205722303 \h </w:instrText>
      </w:r>
      <w:r w:rsidR="004C78B9">
        <w:fldChar w:fldCharType="separate"/>
      </w:r>
      <w:r w:rsidR="000D2EB4">
        <w:t xml:space="preserve">Figure </w:t>
      </w:r>
      <w:r w:rsidR="000D2EB4">
        <w:rPr>
          <w:noProof/>
        </w:rPr>
        <w:t>19</w:t>
      </w:r>
      <w:r w:rsidR="004C78B9">
        <w:fldChar w:fldCharType="end"/>
      </w:r>
      <w:r>
        <w:t>.</w:t>
      </w:r>
      <w:r w:rsidRPr="00EE29E5">
        <w:t xml:space="preserve"> The 20 rows closest to</w:t>
      </w:r>
      <w:r>
        <w:t xml:space="preserve"> the serial register are masked</w:t>
      </w:r>
      <w:r w:rsidRPr="00EE29E5">
        <w:t xml:space="preserve"> with an opaque light shield</w:t>
      </w:r>
      <w:r>
        <w:t xml:space="preserve"> (the “Masked Rows” in </w:t>
      </w:r>
      <w:r w:rsidR="004C78B9">
        <w:fldChar w:fldCharType="begin"/>
      </w:r>
      <w:r w:rsidR="00C903B6">
        <w:instrText xml:space="preserve"> REF _Ref106249209 \h </w:instrText>
      </w:r>
      <w:r w:rsidR="004C78B9">
        <w:fldChar w:fldCharType="separate"/>
      </w:r>
      <w:r w:rsidR="000D2EB4">
        <w:t xml:space="preserve">Figure </w:t>
      </w:r>
      <w:r w:rsidR="000D2EB4">
        <w:rPr>
          <w:noProof/>
        </w:rPr>
        <w:t>25</w:t>
      </w:r>
      <w:r w:rsidR="004C78B9">
        <w:fldChar w:fldCharType="end"/>
      </w:r>
      <w:r>
        <w:t>)</w:t>
      </w:r>
      <w:r w:rsidRPr="00EE29E5">
        <w:t>, so the photosensitive area of the science CCD is only 2200 columns by 1024 rows.</w:t>
      </w:r>
      <w:r>
        <w:t xml:space="preserve">  Pixels are clocked one row at a time along the parallel registers into the serial register (bottom of </w:t>
      </w:r>
      <w:r w:rsidR="004C78B9">
        <w:fldChar w:fldCharType="begin"/>
      </w:r>
      <w:r w:rsidR="00C903B6">
        <w:instrText xml:space="preserve"> REF _Ref205722303 \h </w:instrText>
      </w:r>
      <w:r w:rsidR="004C78B9">
        <w:fldChar w:fldCharType="separate"/>
      </w:r>
      <w:r w:rsidR="000D2EB4">
        <w:t xml:space="preserve">Figure </w:t>
      </w:r>
      <w:r w:rsidR="000D2EB4">
        <w:rPr>
          <w:noProof/>
        </w:rPr>
        <w:t>19</w:t>
      </w:r>
      <w:r w:rsidR="004C78B9">
        <w:fldChar w:fldCharType="end"/>
      </w:r>
      <w:r>
        <w:t xml:space="preserve">), then one pixel at a time out of the serial register and through the output amplifiers. </w:t>
      </w:r>
    </w:p>
    <w:p w:rsidR="00404448" w:rsidRPr="00EE29E5" w:rsidRDefault="00404448" w:rsidP="00404448"/>
    <w:p w:rsidR="00404448" w:rsidRDefault="000518AB" w:rsidP="00404448">
      <w:pPr>
        <w:keepNext/>
      </w:pPr>
      <w:r>
        <w:rPr>
          <w:noProof/>
        </w:rPr>
        <w:drawing>
          <wp:inline distT="0" distB="0" distL="0" distR="0">
            <wp:extent cx="5975350" cy="3041015"/>
            <wp:effectExtent l="2540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0"/>
                    <a:srcRect/>
                    <a:stretch>
                      <a:fillRect/>
                    </a:stretch>
                  </pic:blipFill>
                  <pic:spPr bwMode="auto">
                    <a:xfrm>
                      <a:off x="0" y="0"/>
                      <a:ext cx="5975350" cy="3041015"/>
                    </a:xfrm>
                    <a:prstGeom prst="rect">
                      <a:avLst/>
                    </a:prstGeom>
                    <a:noFill/>
                    <a:ln w="9525">
                      <a:noFill/>
                      <a:miter lim="800000"/>
                      <a:headEnd/>
                      <a:tailEnd/>
                    </a:ln>
                  </pic:spPr>
                </pic:pic>
              </a:graphicData>
            </a:graphic>
          </wp:inline>
        </w:drawing>
      </w:r>
    </w:p>
    <w:p w:rsidR="00404448" w:rsidRPr="00EE29E5" w:rsidRDefault="00404448" w:rsidP="00404448">
      <w:pPr>
        <w:pStyle w:val="Caption"/>
      </w:pPr>
      <w:bookmarkStart w:id="110" w:name="_Ref205722303"/>
      <w:bookmarkStart w:id="111" w:name="_Toc322942249"/>
      <w:r>
        <w:t xml:space="preserve">Figure </w:t>
      </w:r>
      <w:fldSimple w:instr=" SEQ Figure \* ARABIC ">
        <w:r w:rsidR="000D2EB4">
          <w:rPr>
            <w:noProof/>
          </w:rPr>
          <w:t>19</w:t>
        </w:r>
      </w:fldSimple>
      <w:bookmarkEnd w:id="110"/>
      <w:r>
        <w:t>:  Block diagram of a single CCD chip, showing the physical pixel format and the two output amplifiers.</w:t>
      </w:r>
      <w:bookmarkEnd w:id="111"/>
    </w:p>
    <w:p w:rsidR="00404448" w:rsidRPr="00394F88" w:rsidRDefault="00404448" w:rsidP="00404448">
      <w:pPr>
        <w:pStyle w:val="Heading2"/>
        <w:rPr>
          <w:sz w:val="22"/>
        </w:rPr>
      </w:pPr>
      <w:bookmarkStart w:id="112" w:name="_Ref205714480"/>
      <w:bookmarkStart w:id="113" w:name="_Toc322942174"/>
      <w:r w:rsidRPr="00394F88">
        <w:rPr>
          <w:sz w:val="22"/>
        </w:rPr>
        <w:t>Physical Characteristics</w:t>
      </w:r>
      <w:bookmarkEnd w:id="112"/>
      <w:bookmarkEnd w:id="113"/>
    </w:p>
    <w:p w:rsidR="00404448" w:rsidRDefault="00404448" w:rsidP="00404448">
      <w:r>
        <w:t xml:space="preserve">Each Science CCD module, an example of which is shown in </w:t>
      </w:r>
      <w:r w:rsidR="004C78B9">
        <w:fldChar w:fldCharType="begin"/>
      </w:r>
      <w:r w:rsidR="00C903B6">
        <w:instrText xml:space="preserve"> REF _Ref205721843 \h </w:instrText>
      </w:r>
      <w:r w:rsidR="004C78B9">
        <w:fldChar w:fldCharType="separate"/>
      </w:r>
      <w:r w:rsidR="000D2EB4">
        <w:t xml:space="preserve">Figure </w:t>
      </w:r>
      <w:r w:rsidR="000D2EB4">
        <w:rPr>
          <w:noProof/>
        </w:rPr>
        <w:t>20</w:t>
      </w:r>
      <w:r w:rsidR="004C78B9">
        <w:fldChar w:fldCharType="end"/>
      </w:r>
      <w:r>
        <w:t xml:space="preserve">, consists of two CCD carriers with invar substrates that are aligned and attached onto an invar CCD module base assembly.  To correct for the Schmidt field curvature a field flattener lens (FFL) with broadband anti-reflection coating, bandpass filtering, and FOV masking is attached to each Science </w:t>
      </w:r>
      <w:r w:rsidR="00E24D34">
        <w:t xml:space="preserve">module. The CCD carrier is </w:t>
      </w:r>
      <w:r>
        <w:t xml:space="preserve">an E2V fabricated CCD mounted on an invar substrate complete with a wirebond fan-out and two high density connectors which form the detector chip assembly (DCA).  Each Science module has four independent outputs, two from each CCD, which are read out simultaneously at 3 MHz, though the readout of the entire focal plane occurs over 5 distinct time slices.   The chip design includes the capability for parallel charge injection into the last row.  A printed wiring assembly (PWA) provides the electrical interface between each CCD chip and the module interface connector. The module temperature is monitored by a Si cryodiode (shown in the lower panel of </w:t>
      </w:r>
      <w:r w:rsidR="004C78B9">
        <w:fldChar w:fldCharType="begin"/>
      </w:r>
      <w:r w:rsidR="00C903B6">
        <w:instrText xml:space="preserve"> REF _Ref205721843 \h </w:instrText>
      </w:r>
      <w:r w:rsidR="004C78B9">
        <w:fldChar w:fldCharType="separate"/>
      </w:r>
      <w:r w:rsidR="000D2EB4">
        <w:t xml:space="preserve">Figure </w:t>
      </w:r>
      <w:r w:rsidR="000D2EB4">
        <w:rPr>
          <w:noProof/>
        </w:rPr>
        <w:t>20</w:t>
      </w:r>
      <w:r w:rsidR="004C78B9">
        <w:fldChar w:fldCharType="end"/>
      </w:r>
      <w:r>
        <w:t xml:space="preserve">) which is sensed by the LDE.  </w:t>
      </w:r>
    </w:p>
    <w:p w:rsidR="00404448" w:rsidRDefault="00404448" w:rsidP="00404448">
      <w:r>
        <w:t>The selection of DCAs that were built into modules was based on performance criteria such as Quantum Efficiency (QE), full well, gain, and linearity, as well as metrology considerations.</w:t>
      </w:r>
    </w:p>
    <w:p w:rsidR="00404448" w:rsidRPr="00272BBF" w:rsidRDefault="00404448" w:rsidP="00404448">
      <w:r>
        <w:t xml:space="preserve">Optical and mechanical metrology register the </w:t>
      </w:r>
      <w:r w:rsidR="00E24D34">
        <w:t xml:space="preserve">CCD active area in translation and </w:t>
      </w:r>
      <w:r>
        <w:t xml:space="preserve">rotation with respect to alignment pins in the module feet to support the positioning of each Science module to within 60 </w:t>
      </w:r>
      <w:r>
        <w:sym w:font="Symbol" w:char="F06D"/>
      </w:r>
      <w:r>
        <w:t xml:space="preserve">m of the Schmidt focal surface.  In addition, spatial knowledge of all pixels locations across the 95 million pixel field is determined to within an uncertainty of 80 </w:t>
      </w:r>
      <w:r>
        <w:sym w:font="Symbol" w:char="F06D"/>
      </w:r>
      <w:r>
        <w:t>m, or about 3 pixels, prior to launch.  After launch, pixel locations with respect to the sky are known to 0.1 pixels or less as a result of the Focal Plane Geometry Commissioning activity</w:t>
      </w:r>
      <w:r w:rsidR="00E24D34">
        <w:t xml:space="preserve"> (KAM §2.3.5.16, Tenenbaum &amp; Jenkins 2010)</w:t>
      </w:r>
      <w:r>
        <w:t>.  Active surface h</w:t>
      </w:r>
      <w:r w:rsidRPr="00272BBF">
        <w:t>eight tolerance</w:t>
      </w:r>
      <w:r>
        <w:t>s can</w:t>
      </w:r>
      <w:r w:rsidRPr="00272BBF">
        <w:t xml:space="preserve"> produce a module-to-module defocus variation of up to 100 microns total.</w:t>
      </w:r>
    </w:p>
    <w:p w:rsidR="00404448" w:rsidRPr="005C46F8" w:rsidRDefault="000518AB" w:rsidP="00404448">
      <w:pPr>
        <w:tabs>
          <w:tab w:val="left" w:pos="2904"/>
        </w:tabs>
      </w:pPr>
      <w:r>
        <w:rPr>
          <w:noProof/>
        </w:rPr>
        <w:drawing>
          <wp:inline distT="0" distB="0" distL="0" distR="0">
            <wp:extent cx="5487289" cy="5053965"/>
            <wp:effectExtent l="6096" t="0" r="0" b="0"/>
            <wp:docPr id="26" name="O 2"/>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440900" cy="6858000"/>
                      <a:chOff x="962020" y="0"/>
                      <a:chExt cx="7440900" cy="6858000"/>
                    </a:xfrm>
                  </a:grpSpPr>
                  <a:grpSp>
                    <a:nvGrpSpPr>
                      <a:cNvPr id="44" name="Group 43"/>
                      <a:cNvGrpSpPr/>
                    </a:nvGrpSpPr>
                    <a:grpSpPr>
                      <a:xfrm>
                        <a:off x="962020" y="0"/>
                        <a:ext cx="7440900" cy="6858000"/>
                        <a:chOff x="962020" y="0"/>
                        <a:chExt cx="7440900" cy="6858000"/>
                      </a:xfrm>
                    </a:grpSpPr>
                    <a:pic>
                      <a:nvPicPr>
                        <a:cNvPr id="3" name="Picture 2" descr="module_side_with_cryodiode.tiff"/>
                        <a:cNvPicPr>
                          <a:picLocks noChangeAspect="1"/>
                        </a:cNvPicPr>
                      </a:nvPicPr>
                      <a:blipFill>
                        <a:blip r:embed="rId41"/>
                        <a:stretch>
                          <a:fillRect/>
                        </a:stretch>
                      </a:blipFill>
                      <a:spPr>
                        <a:xfrm>
                          <a:off x="1053087" y="3643317"/>
                          <a:ext cx="7349833" cy="2970895"/>
                        </a:xfrm>
                        <a:prstGeom prst="rect">
                          <a:avLst/>
                        </a:prstGeom>
                      </a:spPr>
                    </a:pic>
                    <a:sp>
                      <a:nvSpPr>
                        <a:cNvPr id="5" name="Rectangle 4"/>
                        <a:cNvSpPr/>
                      </a:nvSpPr>
                      <a:spPr bwMode="auto">
                        <a:xfrm>
                          <a:off x="2198910" y="6018449"/>
                          <a:ext cx="572036" cy="839551"/>
                        </a:xfrm>
                        <a:prstGeom prst="rect">
                          <a:avLst/>
                        </a:prstGeom>
                        <a:solidFill>
                          <a:schemeClr val="bg1"/>
                        </a:solidFill>
                        <a:ln w="9525" cap="flat" cmpd="sng" algn="ctr">
                          <a:solidFill>
                            <a:schemeClr val="bg1"/>
                          </a:solidFill>
                          <a:prstDash val="solid"/>
                          <a:round/>
                          <a:headEnd type="none" w="med" len="med"/>
                          <a:tailEnd type="none" w="med" len="med"/>
                        </a:ln>
                        <a:effectLst/>
                      </a:spPr>
                      <a:txSp>
                        <a:txBody>
                          <a:bodyPr vert="horz" wrap="square" lIns="91440" tIns="45720" rIns="91440" bIns="45720" numCol="1" rtlCol="0" anchor="t" anchorCtr="0" compatLnSpc="1">
                            <a:prstTxWarp prst="textNoShape">
                              <a:avLst/>
                            </a:prstTxWarp>
                          </a:bodyPr>
                          <a:lstStyle>
                            <a:defPPr>
                              <a:defRPr lang="en-US"/>
                            </a:defPPr>
                            <a:lvl1pPr algn="l" rtl="0" eaLnBrk="0" fontAlgn="base" hangingPunct="0">
                              <a:spcBef>
                                <a:spcPct val="0"/>
                              </a:spcBef>
                              <a:spcAft>
                                <a:spcPct val="0"/>
                              </a:spcAft>
                              <a:defRPr kern="1200">
                                <a:solidFill>
                                  <a:schemeClr val="tx1"/>
                                </a:solidFill>
                                <a:latin typeface="Arial" charset="0"/>
                                <a:ea typeface="+mn-ea"/>
                                <a:cs typeface="+mn-cs"/>
                              </a:defRPr>
                            </a:lvl1pPr>
                            <a:lvl2pPr marL="457200" algn="l" rtl="0" eaLnBrk="0" fontAlgn="base" hangingPunct="0">
                              <a:spcBef>
                                <a:spcPct val="0"/>
                              </a:spcBef>
                              <a:spcAft>
                                <a:spcPct val="0"/>
                              </a:spcAft>
                              <a:defRPr kern="1200">
                                <a:solidFill>
                                  <a:schemeClr val="tx1"/>
                                </a:solidFill>
                                <a:latin typeface="Arial" charset="0"/>
                                <a:ea typeface="+mn-ea"/>
                                <a:cs typeface="+mn-cs"/>
                              </a:defRPr>
                            </a:lvl2pPr>
                            <a:lvl3pPr marL="914400" algn="l" rtl="0" eaLnBrk="0" fontAlgn="base" hangingPunct="0">
                              <a:spcBef>
                                <a:spcPct val="0"/>
                              </a:spcBef>
                              <a:spcAft>
                                <a:spcPct val="0"/>
                              </a:spcAft>
                              <a:defRPr kern="1200">
                                <a:solidFill>
                                  <a:schemeClr val="tx1"/>
                                </a:solidFill>
                                <a:latin typeface="Arial" charset="0"/>
                                <a:ea typeface="+mn-ea"/>
                                <a:cs typeface="+mn-cs"/>
                              </a:defRPr>
                            </a:lvl3pPr>
                            <a:lvl4pPr marL="1371600" algn="l" rtl="0" eaLnBrk="0" fontAlgn="base" hangingPunct="0">
                              <a:spcBef>
                                <a:spcPct val="0"/>
                              </a:spcBef>
                              <a:spcAft>
                                <a:spcPct val="0"/>
                              </a:spcAft>
                              <a:defRPr kern="1200">
                                <a:solidFill>
                                  <a:schemeClr val="tx1"/>
                                </a:solidFill>
                                <a:latin typeface="Arial" charset="0"/>
                                <a:ea typeface="+mn-ea"/>
                                <a:cs typeface="+mn-cs"/>
                              </a:defRPr>
                            </a:lvl4pPr>
                            <a:lvl5pPr marL="1828800" algn="l" rtl="0" eaLnBrk="0" fontAlgn="base" hangingPunct="0">
                              <a:spcBef>
                                <a:spcPct val="0"/>
                              </a:spcBef>
                              <a:spcAft>
                                <a:spcPct val="0"/>
                              </a:spcAft>
                              <a:defRPr kern="1200">
                                <a:solidFill>
                                  <a:schemeClr val="tx1"/>
                                </a:solidFill>
                                <a:latin typeface="Arial" charset="0"/>
                                <a:ea typeface="+mn-ea"/>
                                <a:cs typeface="+mn-cs"/>
                              </a:defRPr>
                            </a:lvl5pPr>
                            <a:lvl6pPr marL="2286000" algn="l" defTabSz="457200" rtl="0" eaLnBrk="1" latinLnBrk="0" hangingPunct="1">
                              <a:defRPr kern="1200">
                                <a:solidFill>
                                  <a:schemeClr val="tx1"/>
                                </a:solidFill>
                                <a:latin typeface="Arial" charset="0"/>
                                <a:ea typeface="+mn-ea"/>
                                <a:cs typeface="+mn-cs"/>
                              </a:defRPr>
                            </a:lvl6pPr>
                            <a:lvl7pPr marL="2743200" algn="l" defTabSz="457200" rtl="0" eaLnBrk="1" latinLnBrk="0" hangingPunct="1">
                              <a:defRPr kern="1200">
                                <a:solidFill>
                                  <a:schemeClr val="tx1"/>
                                </a:solidFill>
                                <a:latin typeface="Arial" charset="0"/>
                                <a:ea typeface="+mn-ea"/>
                                <a:cs typeface="+mn-cs"/>
                              </a:defRPr>
                            </a:lvl7pPr>
                            <a:lvl8pPr marL="3200400" algn="l" defTabSz="457200" rtl="0" eaLnBrk="1" latinLnBrk="0" hangingPunct="1">
                              <a:defRPr kern="1200">
                                <a:solidFill>
                                  <a:schemeClr val="tx1"/>
                                </a:solidFill>
                                <a:latin typeface="Arial" charset="0"/>
                                <a:ea typeface="+mn-ea"/>
                                <a:cs typeface="+mn-cs"/>
                              </a:defRPr>
                            </a:lvl8pPr>
                            <a:lvl9pPr marL="3657600" algn="l" defTabSz="457200" rtl="0" eaLnBrk="1" latinLnBrk="0" hangingPunct="1">
                              <a:defRPr kern="1200">
                                <a:solidFill>
                                  <a:schemeClr val="tx1"/>
                                </a:solidFill>
                                <a:latin typeface="Arial" charset="0"/>
                                <a:ea typeface="+mn-ea"/>
                                <a:cs typeface="+mn-cs"/>
                              </a:defRPr>
                            </a:lvl9pPr>
                          </a:lstStyle>
                          <a:p>
                            <a:pPr marL="0" marR="0" indent="0" algn="l" defTabSz="914400" rtl="0" eaLnBrk="0" fontAlgn="base" latinLnBrk="0" hangingPunct="0">
                              <a:lnSpc>
                                <a:spcPct val="100000"/>
                              </a:lnSpc>
                              <a:spcBef>
                                <a:spcPct val="0"/>
                              </a:spcBef>
                              <a:spcAft>
                                <a:spcPct val="0"/>
                              </a:spcAft>
                              <a:buClrTx/>
                              <a:buSzTx/>
                              <a:buFontTx/>
                              <a:buNone/>
                              <a:tabLst/>
                            </a:pPr>
                            <a:endParaRPr kumimoji="0" lang="en-US" sz="1800" b="0" i="0" u="none" strike="noStrike" cap="none" normalizeH="0" baseline="0">
                              <a:ln>
                                <a:noFill/>
                              </a:ln>
                              <a:solidFill>
                                <a:schemeClr val="tx1"/>
                              </a:solidFill>
                              <a:effectLst/>
                              <a:latin typeface="Arial" charset="0"/>
                            </a:endParaRPr>
                          </a:p>
                        </a:txBody>
                        <a:useSpRect/>
                      </a:txSp>
                    </a:sp>
                    <a:pic>
                      <a:nvPicPr>
                        <a:cNvPr id="2" name="Picture 1" descr="module_isometric_above.tiff"/>
                        <a:cNvPicPr>
                          <a:picLocks noChangeAspect="1"/>
                        </a:cNvPicPr>
                      </a:nvPicPr>
                      <a:blipFill>
                        <a:blip r:embed="rId42"/>
                        <a:stretch>
                          <a:fillRect/>
                        </a:stretch>
                      </a:blipFill>
                      <a:spPr>
                        <a:xfrm>
                          <a:off x="962020" y="0"/>
                          <a:ext cx="7331889" cy="3822609"/>
                        </a:xfrm>
                        <a:prstGeom prst="rect">
                          <a:avLst/>
                        </a:prstGeom>
                      </a:spPr>
                    </a:pic>
                    <a:sp>
                      <a:nvSpPr>
                        <a:cNvPr id="17" name="Freeform 16"/>
                        <a:cNvSpPr/>
                      </a:nvSpPr>
                      <a:spPr bwMode="auto">
                        <a:xfrm>
                          <a:off x="2059331" y="2173965"/>
                          <a:ext cx="1969711" cy="2414244"/>
                        </a:xfrm>
                        <a:custGeom>
                          <a:avLst/>
                          <a:gdLst>
                            <a:gd name="connsiteX0" fmla="*/ 926698 w 1969711"/>
                            <a:gd name="connsiteY0" fmla="*/ 0 h 2414244"/>
                            <a:gd name="connsiteX1" fmla="*/ 125848 w 1969711"/>
                            <a:gd name="connsiteY1" fmla="*/ 1132749 h 2414244"/>
                            <a:gd name="connsiteX2" fmla="*/ 1681786 w 1969711"/>
                            <a:gd name="connsiteY2" fmla="*/ 1601868 h 2414244"/>
                            <a:gd name="connsiteX3" fmla="*/ 1853397 w 1969711"/>
                            <a:gd name="connsiteY3" fmla="*/ 2414244 h 2414244"/>
                          </a:gdLst>
                          <a:ahLst/>
                          <a:cxnLst>
                            <a:cxn ang="0">
                              <a:pos x="connsiteX0" y="connsiteY0"/>
                            </a:cxn>
                            <a:cxn ang="0">
                              <a:pos x="connsiteX1" y="connsiteY1"/>
                            </a:cxn>
                            <a:cxn ang="0">
                              <a:pos x="connsiteX2" y="connsiteY2"/>
                            </a:cxn>
                            <a:cxn ang="0">
                              <a:pos x="connsiteX3" y="connsiteY3"/>
                            </a:cxn>
                          </a:cxnLst>
                          <a:rect l="l" t="t" r="r" b="b"/>
                          <a:pathLst>
                            <a:path w="1969711" h="2414244">
                              <a:moveTo>
                                <a:pt x="926698" y="0"/>
                              </a:moveTo>
                              <a:cubicBezTo>
                                <a:pt x="463349" y="432885"/>
                                <a:pt x="0" y="865771"/>
                                <a:pt x="125848" y="1132749"/>
                              </a:cubicBezTo>
                              <a:cubicBezTo>
                                <a:pt x="251696" y="1399727"/>
                                <a:pt x="1393861" y="1388286"/>
                                <a:pt x="1681786" y="1601868"/>
                              </a:cubicBezTo>
                              <a:cubicBezTo>
                                <a:pt x="1969711" y="1815451"/>
                                <a:pt x="1853397" y="2414244"/>
                                <a:pt x="1853397" y="2414244"/>
                              </a:cubicBezTo>
                            </a:path>
                          </a:pathLst>
                        </a:custGeom>
                        <a:noFill/>
                        <a:ln w="9525" cap="flat" cmpd="sng" algn="ctr">
                          <a:solidFill>
                            <a:schemeClr val="tx1"/>
                          </a:solidFill>
                          <a:prstDash val="solid"/>
                          <a:round/>
                          <a:headEnd type="triangle" w="med" len="med"/>
                          <a:tailEnd type="triangle" w="med" len="med"/>
                        </a:ln>
                        <a:effectLst/>
                      </a:spPr>
                      <a:txSp>
                        <a:txBody>
                          <a:bodyPr vert="horz" wrap="square" lIns="91440" tIns="45720" rIns="91440" bIns="45720" numCol="1" rtlCol="0" anchor="t" anchorCtr="0" compatLnSpc="1">
                            <a:prstTxWarp prst="textNoShape">
                              <a:avLst/>
                            </a:prstTxWarp>
                          </a:bodyPr>
                          <a:lstStyle>
                            <a:defPPr>
                              <a:defRPr lang="en-US"/>
                            </a:defPPr>
                            <a:lvl1pPr algn="l" rtl="0" eaLnBrk="0" fontAlgn="base" hangingPunct="0">
                              <a:spcBef>
                                <a:spcPct val="0"/>
                              </a:spcBef>
                              <a:spcAft>
                                <a:spcPct val="0"/>
                              </a:spcAft>
                              <a:defRPr kern="1200">
                                <a:solidFill>
                                  <a:schemeClr val="tx1"/>
                                </a:solidFill>
                                <a:latin typeface="Arial" charset="0"/>
                                <a:ea typeface="+mn-ea"/>
                                <a:cs typeface="+mn-cs"/>
                              </a:defRPr>
                            </a:lvl1pPr>
                            <a:lvl2pPr marL="457200" algn="l" rtl="0" eaLnBrk="0" fontAlgn="base" hangingPunct="0">
                              <a:spcBef>
                                <a:spcPct val="0"/>
                              </a:spcBef>
                              <a:spcAft>
                                <a:spcPct val="0"/>
                              </a:spcAft>
                              <a:defRPr kern="1200">
                                <a:solidFill>
                                  <a:schemeClr val="tx1"/>
                                </a:solidFill>
                                <a:latin typeface="Arial" charset="0"/>
                                <a:ea typeface="+mn-ea"/>
                                <a:cs typeface="+mn-cs"/>
                              </a:defRPr>
                            </a:lvl2pPr>
                            <a:lvl3pPr marL="914400" algn="l" rtl="0" eaLnBrk="0" fontAlgn="base" hangingPunct="0">
                              <a:spcBef>
                                <a:spcPct val="0"/>
                              </a:spcBef>
                              <a:spcAft>
                                <a:spcPct val="0"/>
                              </a:spcAft>
                              <a:defRPr kern="1200">
                                <a:solidFill>
                                  <a:schemeClr val="tx1"/>
                                </a:solidFill>
                                <a:latin typeface="Arial" charset="0"/>
                                <a:ea typeface="+mn-ea"/>
                                <a:cs typeface="+mn-cs"/>
                              </a:defRPr>
                            </a:lvl3pPr>
                            <a:lvl4pPr marL="1371600" algn="l" rtl="0" eaLnBrk="0" fontAlgn="base" hangingPunct="0">
                              <a:spcBef>
                                <a:spcPct val="0"/>
                              </a:spcBef>
                              <a:spcAft>
                                <a:spcPct val="0"/>
                              </a:spcAft>
                              <a:defRPr kern="1200">
                                <a:solidFill>
                                  <a:schemeClr val="tx1"/>
                                </a:solidFill>
                                <a:latin typeface="Arial" charset="0"/>
                                <a:ea typeface="+mn-ea"/>
                                <a:cs typeface="+mn-cs"/>
                              </a:defRPr>
                            </a:lvl4pPr>
                            <a:lvl5pPr marL="1828800" algn="l" rtl="0" eaLnBrk="0" fontAlgn="base" hangingPunct="0">
                              <a:spcBef>
                                <a:spcPct val="0"/>
                              </a:spcBef>
                              <a:spcAft>
                                <a:spcPct val="0"/>
                              </a:spcAft>
                              <a:defRPr kern="1200">
                                <a:solidFill>
                                  <a:schemeClr val="tx1"/>
                                </a:solidFill>
                                <a:latin typeface="Arial" charset="0"/>
                                <a:ea typeface="+mn-ea"/>
                                <a:cs typeface="+mn-cs"/>
                              </a:defRPr>
                            </a:lvl5pPr>
                            <a:lvl6pPr marL="2286000" algn="l" defTabSz="457200" rtl="0" eaLnBrk="1" latinLnBrk="0" hangingPunct="1">
                              <a:defRPr kern="1200">
                                <a:solidFill>
                                  <a:schemeClr val="tx1"/>
                                </a:solidFill>
                                <a:latin typeface="Arial" charset="0"/>
                                <a:ea typeface="+mn-ea"/>
                                <a:cs typeface="+mn-cs"/>
                              </a:defRPr>
                            </a:lvl6pPr>
                            <a:lvl7pPr marL="2743200" algn="l" defTabSz="457200" rtl="0" eaLnBrk="1" latinLnBrk="0" hangingPunct="1">
                              <a:defRPr kern="1200">
                                <a:solidFill>
                                  <a:schemeClr val="tx1"/>
                                </a:solidFill>
                                <a:latin typeface="Arial" charset="0"/>
                                <a:ea typeface="+mn-ea"/>
                                <a:cs typeface="+mn-cs"/>
                              </a:defRPr>
                            </a:lvl7pPr>
                            <a:lvl8pPr marL="3200400" algn="l" defTabSz="457200" rtl="0" eaLnBrk="1" latinLnBrk="0" hangingPunct="1">
                              <a:defRPr kern="1200">
                                <a:solidFill>
                                  <a:schemeClr val="tx1"/>
                                </a:solidFill>
                                <a:latin typeface="Arial" charset="0"/>
                                <a:ea typeface="+mn-ea"/>
                                <a:cs typeface="+mn-cs"/>
                              </a:defRPr>
                            </a:lvl8pPr>
                            <a:lvl9pPr marL="3657600" algn="l" defTabSz="457200" rtl="0" eaLnBrk="1" latinLnBrk="0" hangingPunct="1">
                              <a:defRPr kern="1200">
                                <a:solidFill>
                                  <a:schemeClr val="tx1"/>
                                </a:solidFill>
                                <a:latin typeface="Arial" charset="0"/>
                                <a:ea typeface="+mn-ea"/>
                                <a:cs typeface="+mn-cs"/>
                              </a:defRPr>
                            </a:lvl9pPr>
                          </a:lstStyle>
                          <a:p>
                            <a:pPr marL="0" marR="0" indent="0" algn="l" defTabSz="914400" rtl="0" eaLnBrk="0" fontAlgn="base" latinLnBrk="0" hangingPunct="0">
                              <a:lnSpc>
                                <a:spcPct val="100000"/>
                              </a:lnSpc>
                              <a:spcBef>
                                <a:spcPct val="0"/>
                              </a:spcBef>
                              <a:spcAft>
                                <a:spcPct val="0"/>
                              </a:spcAft>
                              <a:buClrTx/>
                              <a:buSzTx/>
                              <a:buFontTx/>
                              <a:buNone/>
                              <a:tabLst/>
                            </a:pPr>
                            <a:endParaRPr kumimoji="0" lang="en-US" sz="1800" b="0" i="0" u="none" strike="noStrike" cap="none" normalizeH="0" baseline="0">
                              <a:ln>
                                <a:noFill/>
                              </a:ln>
                              <a:solidFill>
                                <a:schemeClr val="tx1"/>
                              </a:solidFill>
                              <a:effectLst/>
                              <a:latin typeface="Arial" charset="0"/>
                            </a:endParaRPr>
                          </a:p>
                        </a:txBody>
                        <a:useSpRect/>
                      </a:txSp>
                    </a:sp>
                    <a:sp>
                      <a:nvSpPr>
                        <a:cNvPr id="43" name="TextBox 42"/>
                        <a:cNvSpPr txBox="1"/>
                      </a:nvSpPr>
                      <a:spPr>
                        <a:xfrm>
                          <a:off x="1681521" y="6290664"/>
                          <a:ext cx="1506204" cy="369332"/>
                        </a:xfrm>
                        <a:prstGeom prst="rect">
                          <a:avLst/>
                        </a:prstGeom>
                        <a:noFill/>
                      </a:spPr>
                      <a:txSp>
                        <a:txBody>
                          <a:bodyPr wrap="none" rtlCol="0">
                            <a:spAutoFit/>
                          </a:bodyPr>
                          <a:lstStyle>
                            <a:defPPr>
                              <a:defRPr lang="en-US"/>
                            </a:defPPr>
                            <a:lvl1pPr algn="l" rtl="0" eaLnBrk="0" fontAlgn="base" hangingPunct="0">
                              <a:spcBef>
                                <a:spcPct val="0"/>
                              </a:spcBef>
                              <a:spcAft>
                                <a:spcPct val="0"/>
                              </a:spcAft>
                              <a:defRPr kern="1200">
                                <a:solidFill>
                                  <a:schemeClr val="tx1"/>
                                </a:solidFill>
                                <a:latin typeface="Arial" charset="0"/>
                                <a:ea typeface="+mn-ea"/>
                                <a:cs typeface="+mn-cs"/>
                              </a:defRPr>
                            </a:lvl1pPr>
                            <a:lvl2pPr marL="457200" algn="l" rtl="0" eaLnBrk="0" fontAlgn="base" hangingPunct="0">
                              <a:spcBef>
                                <a:spcPct val="0"/>
                              </a:spcBef>
                              <a:spcAft>
                                <a:spcPct val="0"/>
                              </a:spcAft>
                              <a:defRPr kern="1200">
                                <a:solidFill>
                                  <a:schemeClr val="tx1"/>
                                </a:solidFill>
                                <a:latin typeface="Arial" charset="0"/>
                                <a:ea typeface="+mn-ea"/>
                                <a:cs typeface="+mn-cs"/>
                              </a:defRPr>
                            </a:lvl2pPr>
                            <a:lvl3pPr marL="914400" algn="l" rtl="0" eaLnBrk="0" fontAlgn="base" hangingPunct="0">
                              <a:spcBef>
                                <a:spcPct val="0"/>
                              </a:spcBef>
                              <a:spcAft>
                                <a:spcPct val="0"/>
                              </a:spcAft>
                              <a:defRPr kern="1200">
                                <a:solidFill>
                                  <a:schemeClr val="tx1"/>
                                </a:solidFill>
                                <a:latin typeface="Arial" charset="0"/>
                                <a:ea typeface="+mn-ea"/>
                                <a:cs typeface="+mn-cs"/>
                              </a:defRPr>
                            </a:lvl3pPr>
                            <a:lvl4pPr marL="1371600" algn="l" rtl="0" eaLnBrk="0" fontAlgn="base" hangingPunct="0">
                              <a:spcBef>
                                <a:spcPct val="0"/>
                              </a:spcBef>
                              <a:spcAft>
                                <a:spcPct val="0"/>
                              </a:spcAft>
                              <a:defRPr kern="1200">
                                <a:solidFill>
                                  <a:schemeClr val="tx1"/>
                                </a:solidFill>
                                <a:latin typeface="Arial" charset="0"/>
                                <a:ea typeface="+mn-ea"/>
                                <a:cs typeface="+mn-cs"/>
                              </a:defRPr>
                            </a:lvl4pPr>
                            <a:lvl5pPr marL="1828800" algn="l" rtl="0" eaLnBrk="0" fontAlgn="base" hangingPunct="0">
                              <a:spcBef>
                                <a:spcPct val="0"/>
                              </a:spcBef>
                              <a:spcAft>
                                <a:spcPct val="0"/>
                              </a:spcAft>
                              <a:defRPr kern="1200">
                                <a:solidFill>
                                  <a:schemeClr val="tx1"/>
                                </a:solidFill>
                                <a:latin typeface="Arial" charset="0"/>
                                <a:ea typeface="+mn-ea"/>
                                <a:cs typeface="+mn-cs"/>
                              </a:defRPr>
                            </a:lvl5pPr>
                            <a:lvl6pPr marL="2286000" algn="l" defTabSz="457200" rtl="0" eaLnBrk="1" latinLnBrk="0" hangingPunct="1">
                              <a:defRPr kern="1200">
                                <a:solidFill>
                                  <a:schemeClr val="tx1"/>
                                </a:solidFill>
                                <a:latin typeface="Arial" charset="0"/>
                                <a:ea typeface="+mn-ea"/>
                                <a:cs typeface="+mn-cs"/>
                              </a:defRPr>
                            </a:lvl6pPr>
                            <a:lvl7pPr marL="2743200" algn="l" defTabSz="457200" rtl="0" eaLnBrk="1" latinLnBrk="0" hangingPunct="1">
                              <a:defRPr kern="1200">
                                <a:solidFill>
                                  <a:schemeClr val="tx1"/>
                                </a:solidFill>
                                <a:latin typeface="Arial" charset="0"/>
                                <a:ea typeface="+mn-ea"/>
                                <a:cs typeface="+mn-cs"/>
                              </a:defRPr>
                            </a:lvl7pPr>
                            <a:lvl8pPr marL="3200400" algn="l" defTabSz="457200" rtl="0" eaLnBrk="1" latinLnBrk="0" hangingPunct="1">
                              <a:defRPr kern="1200">
                                <a:solidFill>
                                  <a:schemeClr val="tx1"/>
                                </a:solidFill>
                                <a:latin typeface="Arial" charset="0"/>
                                <a:ea typeface="+mn-ea"/>
                                <a:cs typeface="+mn-cs"/>
                              </a:defRPr>
                            </a:lvl8pPr>
                            <a:lvl9pPr marL="3657600" algn="l" defTabSz="457200" rtl="0" eaLnBrk="1" latinLnBrk="0" hangingPunct="1">
                              <a:defRPr kern="1200">
                                <a:solidFill>
                                  <a:schemeClr val="tx1"/>
                                </a:solidFill>
                                <a:latin typeface="Arial" charset="0"/>
                                <a:ea typeface="+mn-ea"/>
                                <a:cs typeface="+mn-cs"/>
                              </a:defRPr>
                            </a:lvl9pPr>
                          </a:lstStyle>
                          <a:p>
                            <a:r>
                              <a:rPr lang="en-US" dirty="0" smtClean="0"/>
                              <a:t>Si </a:t>
                            </a:r>
                            <a:r>
                              <a:rPr lang="en-US" dirty="0" err="1" smtClean="0"/>
                              <a:t>Cryodiode</a:t>
                            </a:r>
                            <a:endParaRPr lang="en-US" dirty="0"/>
                          </a:p>
                        </a:txBody>
                        <a:useSpRect/>
                      </a:txSp>
                    </a:sp>
                  </a:grpSp>
                </lc:lockedCanvas>
              </a:graphicData>
            </a:graphic>
          </wp:inline>
        </w:drawing>
      </w:r>
      <w:r w:rsidR="00404448">
        <w:tab/>
      </w:r>
    </w:p>
    <w:p w:rsidR="00404448" w:rsidRPr="007D304D" w:rsidRDefault="00404448" w:rsidP="00404448">
      <w:pPr>
        <w:pStyle w:val="Caption"/>
      </w:pPr>
      <w:bookmarkStart w:id="114" w:name="_Ref205721843"/>
      <w:bookmarkStart w:id="115" w:name="_Toc322942250"/>
      <w:r>
        <w:t xml:space="preserve">Figure </w:t>
      </w:r>
      <w:fldSimple w:instr=" SEQ Figure \* ARABIC ">
        <w:r w:rsidR="000D2EB4">
          <w:rPr>
            <w:noProof/>
          </w:rPr>
          <w:t>20</w:t>
        </w:r>
      </w:fldSimple>
      <w:bookmarkEnd w:id="114"/>
      <w:r>
        <w:t>:  Physical layout of a single CCD module.  Top:  Isometric view from above.  Bottom:  Side view showing locat</w:t>
      </w:r>
      <w:r w:rsidR="008716F1">
        <w:t xml:space="preserve">ion of Si cryodiode.  From </w:t>
      </w:r>
      <w:r>
        <w:t>Argabright (2008).</w:t>
      </w:r>
      <w:r w:rsidRPr="007D304D">
        <w:t xml:space="preserve"> </w:t>
      </w:r>
      <w:r w:rsidR="0085198A">
        <w:t xml:space="preserve"> </w:t>
      </w:r>
      <w:r w:rsidRPr="007D304D">
        <w:t>Note the height t</w:t>
      </w:r>
      <w:r>
        <w:t>olerance above label ‘TO ACTIVE AREA’</w:t>
      </w:r>
      <w:r w:rsidRPr="007D304D">
        <w:t xml:space="preserve">. </w:t>
      </w:r>
      <w:r>
        <w:t>Curved double-headed lines connect corresponding sides.</w:t>
      </w:r>
      <w:bookmarkEnd w:id="115"/>
    </w:p>
    <w:p w:rsidR="00404448" w:rsidRDefault="000518AB" w:rsidP="00404448">
      <w:pPr>
        <w:pStyle w:val="Caption"/>
        <w:keepNext/>
      </w:pPr>
      <w:r>
        <w:rPr>
          <w:noProof/>
        </w:rPr>
        <w:drawing>
          <wp:inline distT="0" distB="0" distL="0" distR="0">
            <wp:extent cx="5487289" cy="3955415"/>
            <wp:effectExtent l="6096" t="0" r="0" b="0"/>
            <wp:docPr id="27" name="O 3"/>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9513333" cy="6858000"/>
                      <a:chOff x="0" y="0"/>
                      <a:chExt cx="9513333" cy="6858000"/>
                    </a:xfrm>
                  </a:grpSpPr>
                  <a:grpSp>
                    <a:nvGrpSpPr>
                      <a:cNvPr id="11" name="Group 10"/>
                      <a:cNvGrpSpPr/>
                    </a:nvGrpSpPr>
                    <a:grpSpPr>
                      <a:xfrm>
                        <a:off x="0" y="0"/>
                        <a:ext cx="9513333" cy="6858000"/>
                        <a:chOff x="0" y="0"/>
                        <a:chExt cx="9513333" cy="6858000"/>
                      </a:xfrm>
                    </a:grpSpPr>
                    <a:pic>
                      <a:nvPicPr>
                        <a:cNvPr id="2" name="Picture 1" descr="module_isometric.tiff"/>
                        <a:cNvPicPr>
                          <a:picLocks noChangeAspect="1"/>
                        </a:cNvPicPr>
                      </a:nvPicPr>
                      <a:blipFill>
                        <a:blip r:embed="rId43"/>
                        <a:stretch>
                          <a:fillRect/>
                        </a:stretch>
                      </a:blipFill>
                      <a:spPr>
                        <a:xfrm>
                          <a:off x="0" y="0"/>
                          <a:ext cx="6119720" cy="6858000"/>
                        </a:xfrm>
                        <a:prstGeom prst="rect">
                          <a:avLst/>
                        </a:prstGeom>
                      </a:spPr>
                    </a:pic>
                    <a:pic>
                      <a:nvPicPr>
                        <a:cNvPr id="3" name="Picture 2" descr="module_51pin.tiff"/>
                        <a:cNvPicPr>
                          <a:picLocks noChangeAspect="1"/>
                        </a:cNvPicPr>
                      </a:nvPicPr>
                      <a:blipFill>
                        <a:blip r:embed="rId44"/>
                        <a:stretch>
                          <a:fillRect/>
                        </a:stretch>
                      </a:blipFill>
                      <a:spPr>
                        <a:xfrm rot="10800000">
                          <a:off x="5744901" y="0"/>
                          <a:ext cx="3683449" cy="6858000"/>
                        </a:xfrm>
                        <a:prstGeom prst="rect">
                          <a:avLst/>
                        </a:prstGeom>
                      </a:spPr>
                    </a:pic>
                    <a:sp>
                      <a:nvSpPr>
                        <a:cNvPr id="4" name="Rectangle 3"/>
                        <a:cNvSpPr/>
                      </a:nvSpPr>
                      <a:spPr bwMode="auto">
                        <a:xfrm>
                          <a:off x="5620745" y="4573960"/>
                          <a:ext cx="611462" cy="634945"/>
                        </a:xfrm>
                        <a:prstGeom prst="rect">
                          <a:avLst/>
                        </a:prstGeom>
                        <a:solidFill>
                          <a:srgbClr val="FFFFFF"/>
                        </a:solidFill>
                        <a:ln w="9525" cap="flat" cmpd="sng" algn="ctr">
                          <a:solidFill>
                            <a:srgbClr val="FFFFFF"/>
                          </a:solidFill>
                          <a:prstDash val="solid"/>
                          <a:round/>
                          <a:headEnd type="none" w="med" len="med"/>
                          <a:tailEnd type="none" w="med" len="med"/>
                        </a:ln>
                        <a:effectLst/>
                      </a:spPr>
                      <a:txSp>
                        <a:txBody>
                          <a:bodyPr vert="horz" wrap="square" lIns="91440" tIns="45720" rIns="91440" bIns="45720" numCol="1" rtlCol="0" anchor="t" anchorCtr="0" compatLnSpc="1">
                            <a:prstTxWarp prst="textNoShape">
                              <a:avLst/>
                            </a:prstTxWarp>
                          </a:bodyPr>
                          <a:lstStyle>
                            <a:defPPr>
                              <a:defRPr lang="en-US"/>
                            </a:defPPr>
                            <a:lvl1pPr algn="l" rtl="0" eaLnBrk="0" fontAlgn="base" hangingPunct="0">
                              <a:spcBef>
                                <a:spcPct val="0"/>
                              </a:spcBef>
                              <a:spcAft>
                                <a:spcPct val="0"/>
                              </a:spcAft>
                              <a:defRPr kern="1200">
                                <a:solidFill>
                                  <a:schemeClr val="tx1"/>
                                </a:solidFill>
                                <a:latin typeface="Arial" charset="0"/>
                                <a:ea typeface="+mn-ea"/>
                                <a:cs typeface="+mn-cs"/>
                              </a:defRPr>
                            </a:lvl1pPr>
                            <a:lvl2pPr marL="457200" algn="l" rtl="0" eaLnBrk="0" fontAlgn="base" hangingPunct="0">
                              <a:spcBef>
                                <a:spcPct val="0"/>
                              </a:spcBef>
                              <a:spcAft>
                                <a:spcPct val="0"/>
                              </a:spcAft>
                              <a:defRPr kern="1200">
                                <a:solidFill>
                                  <a:schemeClr val="tx1"/>
                                </a:solidFill>
                                <a:latin typeface="Arial" charset="0"/>
                                <a:ea typeface="+mn-ea"/>
                                <a:cs typeface="+mn-cs"/>
                              </a:defRPr>
                            </a:lvl2pPr>
                            <a:lvl3pPr marL="914400" algn="l" rtl="0" eaLnBrk="0" fontAlgn="base" hangingPunct="0">
                              <a:spcBef>
                                <a:spcPct val="0"/>
                              </a:spcBef>
                              <a:spcAft>
                                <a:spcPct val="0"/>
                              </a:spcAft>
                              <a:defRPr kern="1200">
                                <a:solidFill>
                                  <a:schemeClr val="tx1"/>
                                </a:solidFill>
                                <a:latin typeface="Arial" charset="0"/>
                                <a:ea typeface="+mn-ea"/>
                                <a:cs typeface="+mn-cs"/>
                              </a:defRPr>
                            </a:lvl3pPr>
                            <a:lvl4pPr marL="1371600" algn="l" rtl="0" eaLnBrk="0" fontAlgn="base" hangingPunct="0">
                              <a:spcBef>
                                <a:spcPct val="0"/>
                              </a:spcBef>
                              <a:spcAft>
                                <a:spcPct val="0"/>
                              </a:spcAft>
                              <a:defRPr kern="1200">
                                <a:solidFill>
                                  <a:schemeClr val="tx1"/>
                                </a:solidFill>
                                <a:latin typeface="Arial" charset="0"/>
                                <a:ea typeface="+mn-ea"/>
                                <a:cs typeface="+mn-cs"/>
                              </a:defRPr>
                            </a:lvl4pPr>
                            <a:lvl5pPr marL="1828800" algn="l" rtl="0" eaLnBrk="0" fontAlgn="base" hangingPunct="0">
                              <a:spcBef>
                                <a:spcPct val="0"/>
                              </a:spcBef>
                              <a:spcAft>
                                <a:spcPct val="0"/>
                              </a:spcAft>
                              <a:defRPr kern="1200">
                                <a:solidFill>
                                  <a:schemeClr val="tx1"/>
                                </a:solidFill>
                                <a:latin typeface="Arial" charset="0"/>
                                <a:ea typeface="+mn-ea"/>
                                <a:cs typeface="+mn-cs"/>
                              </a:defRPr>
                            </a:lvl5pPr>
                            <a:lvl6pPr marL="2286000" algn="l" defTabSz="457200" rtl="0" eaLnBrk="1" latinLnBrk="0" hangingPunct="1">
                              <a:defRPr kern="1200">
                                <a:solidFill>
                                  <a:schemeClr val="tx1"/>
                                </a:solidFill>
                                <a:latin typeface="Arial" charset="0"/>
                                <a:ea typeface="+mn-ea"/>
                                <a:cs typeface="+mn-cs"/>
                              </a:defRPr>
                            </a:lvl6pPr>
                            <a:lvl7pPr marL="2743200" algn="l" defTabSz="457200" rtl="0" eaLnBrk="1" latinLnBrk="0" hangingPunct="1">
                              <a:defRPr kern="1200">
                                <a:solidFill>
                                  <a:schemeClr val="tx1"/>
                                </a:solidFill>
                                <a:latin typeface="Arial" charset="0"/>
                                <a:ea typeface="+mn-ea"/>
                                <a:cs typeface="+mn-cs"/>
                              </a:defRPr>
                            </a:lvl7pPr>
                            <a:lvl8pPr marL="3200400" algn="l" defTabSz="457200" rtl="0" eaLnBrk="1" latinLnBrk="0" hangingPunct="1">
                              <a:defRPr kern="1200">
                                <a:solidFill>
                                  <a:schemeClr val="tx1"/>
                                </a:solidFill>
                                <a:latin typeface="Arial" charset="0"/>
                                <a:ea typeface="+mn-ea"/>
                                <a:cs typeface="+mn-cs"/>
                              </a:defRPr>
                            </a:lvl8pPr>
                            <a:lvl9pPr marL="3657600" algn="l" defTabSz="457200" rtl="0" eaLnBrk="1" latinLnBrk="0" hangingPunct="1">
                              <a:defRPr kern="1200">
                                <a:solidFill>
                                  <a:schemeClr val="tx1"/>
                                </a:solidFill>
                                <a:latin typeface="Arial" charset="0"/>
                                <a:ea typeface="+mn-ea"/>
                                <a:cs typeface="+mn-cs"/>
                              </a:defRPr>
                            </a:lvl9pPr>
                          </a:lstStyle>
                          <a:p>
                            <a:pPr marL="0" marR="0" indent="0" algn="l" defTabSz="914400" rtl="0" eaLnBrk="0" fontAlgn="base" latinLnBrk="0" hangingPunct="0">
                              <a:lnSpc>
                                <a:spcPct val="100000"/>
                              </a:lnSpc>
                              <a:spcBef>
                                <a:spcPct val="0"/>
                              </a:spcBef>
                              <a:spcAft>
                                <a:spcPct val="0"/>
                              </a:spcAft>
                              <a:buClrTx/>
                              <a:buSzTx/>
                              <a:buFontTx/>
                              <a:buNone/>
                              <a:tabLst/>
                            </a:pPr>
                            <a:endParaRPr kumimoji="0" lang="en-US" sz="1800" b="0" i="0" u="none" strike="noStrike" cap="none" normalizeH="0" baseline="0">
                              <a:ln>
                                <a:noFill/>
                              </a:ln>
                              <a:solidFill>
                                <a:schemeClr val="tx1"/>
                              </a:solidFill>
                              <a:effectLst/>
                              <a:latin typeface="Arial" charset="0"/>
                            </a:endParaRPr>
                          </a:p>
                        </a:txBody>
                        <a:useSpRect/>
                      </a:txSp>
                    </a:sp>
                    <a:sp>
                      <a:nvSpPr>
                        <a:cNvPr id="5" name="Rectangle 4"/>
                        <a:cNvSpPr/>
                      </a:nvSpPr>
                      <a:spPr bwMode="auto">
                        <a:xfrm>
                          <a:off x="5597227" y="1575606"/>
                          <a:ext cx="634980" cy="646703"/>
                        </a:xfrm>
                        <a:prstGeom prst="rect">
                          <a:avLst/>
                        </a:prstGeom>
                        <a:solidFill>
                          <a:srgbClr val="FFFFFF"/>
                        </a:solidFill>
                        <a:ln w="9525" cap="flat" cmpd="sng" algn="ctr">
                          <a:solidFill>
                            <a:srgbClr val="FFFFFF"/>
                          </a:solidFill>
                          <a:prstDash val="solid"/>
                          <a:round/>
                          <a:headEnd type="none" w="med" len="med"/>
                          <a:tailEnd type="none" w="med" len="med"/>
                        </a:ln>
                        <a:effectLst/>
                      </a:spPr>
                      <a:txSp>
                        <a:txBody>
                          <a:bodyPr vert="horz" wrap="square" lIns="91440" tIns="45720" rIns="91440" bIns="45720" numCol="1" rtlCol="0" anchor="t" anchorCtr="0" compatLnSpc="1">
                            <a:prstTxWarp prst="textNoShape">
                              <a:avLst/>
                            </a:prstTxWarp>
                          </a:bodyPr>
                          <a:lstStyle>
                            <a:defPPr>
                              <a:defRPr lang="en-US"/>
                            </a:defPPr>
                            <a:lvl1pPr algn="l" rtl="0" eaLnBrk="0" fontAlgn="base" hangingPunct="0">
                              <a:spcBef>
                                <a:spcPct val="0"/>
                              </a:spcBef>
                              <a:spcAft>
                                <a:spcPct val="0"/>
                              </a:spcAft>
                              <a:defRPr kern="1200">
                                <a:solidFill>
                                  <a:schemeClr val="tx1"/>
                                </a:solidFill>
                                <a:latin typeface="Arial" charset="0"/>
                                <a:ea typeface="+mn-ea"/>
                                <a:cs typeface="+mn-cs"/>
                              </a:defRPr>
                            </a:lvl1pPr>
                            <a:lvl2pPr marL="457200" algn="l" rtl="0" eaLnBrk="0" fontAlgn="base" hangingPunct="0">
                              <a:spcBef>
                                <a:spcPct val="0"/>
                              </a:spcBef>
                              <a:spcAft>
                                <a:spcPct val="0"/>
                              </a:spcAft>
                              <a:defRPr kern="1200">
                                <a:solidFill>
                                  <a:schemeClr val="tx1"/>
                                </a:solidFill>
                                <a:latin typeface="Arial" charset="0"/>
                                <a:ea typeface="+mn-ea"/>
                                <a:cs typeface="+mn-cs"/>
                              </a:defRPr>
                            </a:lvl2pPr>
                            <a:lvl3pPr marL="914400" algn="l" rtl="0" eaLnBrk="0" fontAlgn="base" hangingPunct="0">
                              <a:spcBef>
                                <a:spcPct val="0"/>
                              </a:spcBef>
                              <a:spcAft>
                                <a:spcPct val="0"/>
                              </a:spcAft>
                              <a:defRPr kern="1200">
                                <a:solidFill>
                                  <a:schemeClr val="tx1"/>
                                </a:solidFill>
                                <a:latin typeface="Arial" charset="0"/>
                                <a:ea typeface="+mn-ea"/>
                                <a:cs typeface="+mn-cs"/>
                              </a:defRPr>
                            </a:lvl3pPr>
                            <a:lvl4pPr marL="1371600" algn="l" rtl="0" eaLnBrk="0" fontAlgn="base" hangingPunct="0">
                              <a:spcBef>
                                <a:spcPct val="0"/>
                              </a:spcBef>
                              <a:spcAft>
                                <a:spcPct val="0"/>
                              </a:spcAft>
                              <a:defRPr kern="1200">
                                <a:solidFill>
                                  <a:schemeClr val="tx1"/>
                                </a:solidFill>
                                <a:latin typeface="Arial" charset="0"/>
                                <a:ea typeface="+mn-ea"/>
                                <a:cs typeface="+mn-cs"/>
                              </a:defRPr>
                            </a:lvl4pPr>
                            <a:lvl5pPr marL="1828800" algn="l" rtl="0" eaLnBrk="0" fontAlgn="base" hangingPunct="0">
                              <a:spcBef>
                                <a:spcPct val="0"/>
                              </a:spcBef>
                              <a:spcAft>
                                <a:spcPct val="0"/>
                              </a:spcAft>
                              <a:defRPr kern="1200">
                                <a:solidFill>
                                  <a:schemeClr val="tx1"/>
                                </a:solidFill>
                                <a:latin typeface="Arial" charset="0"/>
                                <a:ea typeface="+mn-ea"/>
                                <a:cs typeface="+mn-cs"/>
                              </a:defRPr>
                            </a:lvl5pPr>
                            <a:lvl6pPr marL="2286000" algn="l" defTabSz="457200" rtl="0" eaLnBrk="1" latinLnBrk="0" hangingPunct="1">
                              <a:defRPr kern="1200">
                                <a:solidFill>
                                  <a:schemeClr val="tx1"/>
                                </a:solidFill>
                                <a:latin typeface="Arial" charset="0"/>
                                <a:ea typeface="+mn-ea"/>
                                <a:cs typeface="+mn-cs"/>
                              </a:defRPr>
                            </a:lvl6pPr>
                            <a:lvl7pPr marL="2743200" algn="l" defTabSz="457200" rtl="0" eaLnBrk="1" latinLnBrk="0" hangingPunct="1">
                              <a:defRPr kern="1200">
                                <a:solidFill>
                                  <a:schemeClr val="tx1"/>
                                </a:solidFill>
                                <a:latin typeface="Arial" charset="0"/>
                                <a:ea typeface="+mn-ea"/>
                                <a:cs typeface="+mn-cs"/>
                              </a:defRPr>
                            </a:lvl7pPr>
                            <a:lvl8pPr marL="3200400" algn="l" defTabSz="457200" rtl="0" eaLnBrk="1" latinLnBrk="0" hangingPunct="1">
                              <a:defRPr kern="1200">
                                <a:solidFill>
                                  <a:schemeClr val="tx1"/>
                                </a:solidFill>
                                <a:latin typeface="Arial" charset="0"/>
                                <a:ea typeface="+mn-ea"/>
                                <a:cs typeface="+mn-cs"/>
                              </a:defRPr>
                            </a:lvl8pPr>
                            <a:lvl9pPr marL="3657600" algn="l" defTabSz="457200" rtl="0" eaLnBrk="1" latinLnBrk="0" hangingPunct="1">
                              <a:defRPr kern="1200">
                                <a:solidFill>
                                  <a:schemeClr val="tx1"/>
                                </a:solidFill>
                                <a:latin typeface="Arial" charset="0"/>
                                <a:ea typeface="+mn-ea"/>
                                <a:cs typeface="+mn-cs"/>
                              </a:defRPr>
                            </a:lvl9pPr>
                          </a:lstStyle>
                          <a:p>
                            <a:pPr marL="0" marR="0" indent="0" algn="l" defTabSz="914400" rtl="0" eaLnBrk="0" fontAlgn="base" latinLnBrk="0" hangingPunct="0">
                              <a:lnSpc>
                                <a:spcPct val="100000"/>
                              </a:lnSpc>
                              <a:spcBef>
                                <a:spcPct val="0"/>
                              </a:spcBef>
                              <a:spcAft>
                                <a:spcPct val="0"/>
                              </a:spcAft>
                              <a:buClrTx/>
                              <a:buSzTx/>
                              <a:buFontTx/>
                              <a:buNone/>
                              <a:tabLst/>
                            </a:pPr>
                            <a:endParaRPr kumimoji="0" lang="en-US" sz="1800" b="0" i="0" u="none" strike="noStrike" cap="none" normalizeH="0" baseline="0">
                              <a:ln>
                                <a:noFill/>
                              </a:ln>
                              <a:solidFill>
                                <a:schemeClr val="tx1"/>
                              </a:solidFill>
                              <a:effectLst/>
                              <a:latin typeface="Arial" charset="0"/>
                            </a:endParaRPr>
                          </a:p>
                        </a:txBody>
                        <a:useSpRect/>
                      </a:txSp>
                    </a:sp>
                    <a:sp>
                      <a:nvSpPr>
                        <a:cNvPr id="6" name="Freeform 5"/>
                        <a:cNvSpPr/>
                      </a:nvSpPr>
                      <a:spPr bwMode="auto">
                        <a:xfrm>
                          <a:off x="2445847" y="1173866"/>
                          <a:ext cx="3504147" cy="2529983"/>
                        </a:xfrm>
                        <a:custGeom>
                          <a:avLst/>
                          <a:gdLst>
                            <a:gd name="connsiteX0" fmla="*/ 0 w 3504147"/>
                            <a:gd name="connsiteY0" fmla="*/ 2529983 h 2529983"/>
                            <a:gd name="connsiteX1" fmla="*/ 940711 w 3504147"/>
                            <a:gd name="connsiteY1" fmla="*/ 660421 h 2529983"/>
                            <a:gd name="connsiteX2" fmla="*/ 2046046 w 3504147"/>
                            <a:gd name="connsiteY2" fmla="*/ 25476 h 2529983"/>
                            <a:gd name="connsiteX3" fmla="*/ 3151380 w 3504147"/>
                            <a:gd name="connsiteY3" fmla="*/ 507564 h 2529983"/>
                            <a:gd name="connsiteX4" fmla="*/ 3504147 w 3504147"/>
                            <a:gd name="connsiteY4" fmla="*/ 989652 h 2529983"/>
                            <a:gd name="connsiteX5" fmla="*/ 3504147 w 3504147"/>
                            <a:gd name="connsiteY5" fmla="*/ 989652 h 252998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3504147" h="2529983">
                              <a:moveTo>
                                <a:pt x="0" y="2529983"/>
                              </a:moveTo>
                              <a:cubicBezTo>
                                <a:pt x="299851" y="1803911"/>
                                <a:pt x="599703" y="1077839"/>
                                <a:pt x="940711" y="660421"/>
                              </a:cubicBezTo>
                              <a:cubicBezTo>
                                <a:pt x="1281719" y="243003"/>
                                <a:pt x="1677601" y="50952"/>
                                <a:pt x="2046046" y="25476"/>
                              </a:cubicBezTo>
                              <a:cubicBezTo>
                                <a:pt x="2414491" y="0"/>
                                <a:pt x="2908363" y="346868"/>
                                <a:pt x="3151380" y="507564"/>
                              </a:cubicBezTo>
                              <a:cubicBezTo>
                                <a:pt x="3394397" y="668260"/>
                                <a:pt x="3504147" y="989652"/>
                                <a:pt x="3504147" y="989652"/>
                              </a:cubicBezTo>
                              <a:lnTo>
                                <a:pt x="3504147" y="989652"/>
                              </a:lnTo>
                            </a:path>
                          </a:pathLst>
                        </a:custGeom>
                        <a:noFill/>
                        <a:ln w="9525" cap="flat" cmpd="sng" algn="ctr">
                          <a:solidFill>
                            <a:schemeClr val="tx1"/>
                          </a:solidFill>
                          <a:prstDash val="solid"/>
                          <a:round/>
                          <a:headEnd type="triangle" w="med" len="med"/>
                          <a:tailEnd type="triangle" w="med" len="med"/>
                        </a:ln>
                        <a:effectLst/>
                      </a:spPr>
                      <a:txSp>
                        <a:txBody>
                          <a:bodyPr vert="horz" wrap="square" lIns="91440" tIns="45720" rIns="91440" bIns="45720" numCol="1" rtlCol="0" anchor="t" anchorCtr="0" compatLnSpc="1">
                            <a:prstTxWarp prst="textNoShape">
                              <a:avLst/>
                            </a:prstTxWarp>
                          </a:bodyPr>
                          <a:lstStyle>
                            <a:defPPr>
                              <a:defRPr lang="en-US"/>
                            </a:defPPr>
                            <a:lvl1pPr algn="l" rtl="0" eaLnBrk="0" fontAlgn="base" hangingPunct="0">
                              <a:spcBef>
                                <a:spcPct val="0"/>
                              </a:spcBef>
                              <a:spcAft>
                                <a:spcPct val="0"/>
                              </a:spcAft>
                              <a:defRPr kern="1200">
                                <a:solidFill>
                                  <a:schemeClr val="tx1"/>
                                </a:solidFill>
                                <a:latin typeface="Arial" charset="0"/>
                                <a:ea typeface="+mn-ea"/>
                                <a:cs typeface="+mn-cs"/>
                              </a:defRPr>
                            </a:lvl1pPr>
                            <a:lvl2pPr marL="457200" algn="l" rtl="0" eaLnBrk="0" fontAlgn="base" hangingPunct="0">
                              <a:spcBef>
                                <a:spcPct val="0"/>
                              </a:spcBef>
                              <a:spcAft>
                                <a:spcPct val="0"/>
                              </a:spcAft>
                              <a:defRPr kern="1200">
                                <a:solidFill>
                                  <a:schemeClr val="tx1"/>
                                </a:solidFill>
                                <a:latin typeface="Arial" charset="0"/>
                                <a:ea typeface="+mn-ea"/>
                                <a:cs typeface="+mn-cs"/>
                              </a:defRPr>
                            </a:lvl2pPr>
                            <a:lvl3pPr marL="914400" algn="l" rtl="0" eaLnBrk="0" fontAlgn="base" hangingPunct="0">
                              <a:spcBef>
                                <a:spcPct val="0"/>
                              </a:spcBef>
                              <a:spcAft>
                                <a:spcPct val="0"/>
                              </a:spcAft>
                              <a:defRPr kern="1200">
                                <a:solidFill>
                                  <a:schemeClr val="tx1"/>
                                </a:solidFill>
                                <a:latin typeface="Arial" charset="0"/>
                                <a:ea typeface="+mn-ea"/>
                                <a:cs typeface="+mn-cs"/>
                              </a:defRPr>
                            </a:lvl3pPr>
                            <a:lvl4pPr marL="1371600" algn="l" rtl="0" eaLnBrk="0" fontAlgn="base" hangingPunct="0">
                              <a:spcBef>
                                <a:spcPct val="0"/>
                              </a:spcBef>
                              <a:spcAft>
                                <a:spcPct val="0"/>
                              </a:spcAft>
                              <a:defRPr kern="1200">
                                <a:solidFill>
                                  <a:schemeClr val="tx1"/>
                                </a:solidFill>
                                <a:latin typeface="Arial" charset="0"/>
                                <a:ea typeface="+mn-ea"/>
                                <a:cs typeface="+mn-cs"/>
                              </a:defRPr>
                            </a:lvl4pPr>
                            <a:lvl5pPr marL="1828800" algn="l" rtl="0" eaLnBrk="0" fontAlgn="base" hangingPunct="0">
                              <a:spcBef>
                                <a:spcPct val="0"/>
                              </a:spcBef>
                              <a:spcAft>
                                <a:spcPct val="0"/>
                              </a:spcAft>
                              <a:defRPr kern="1200">
                                <a:solidFill>
                                  <a:schemeClr val="tx1"/>
                                </a:solidFill>
                                <a:latin typeface="Arial" charset="0"/>
                                <a:ea typeface="+mn-ea"/>
                                <a:cs typeface="+mn-cs"/>
                              </a:defRPr>
                            </a:lvl5pPr>
                            <a:lvl6pPr marL="2286000" algn="l" defTabSz="457200" rtl="0" eaLnBrk="1" latinLnBrk="0" hangingPunct="1">
                              <a:defRPr kern="1200">
                                <a:solidFill>
                                  <a:schemeClr val="tx1"/>
                                </a:solidFill>
                                <a:latin typeface="Arial" charset="0"/>
                                <a:ea typeface="+mn-ea"/>
                                <a:cs typeface="+mn-cs"/>
                              </a:defRPr>
                            </a:lvl6pPr>
                            <a:lvl7pPr marL="2743200" algn="l" defTabSz="457200" rtl="0" eaLnBrk="1" latinLnBrk="0" hangingPunct="1">
                              <a:defRPr kern="1200">
                                <a:solidFill>
                                  <a:schemeClr val="tx1"/>
                                </a:solidFill>
                                <a:latin typeface="Arial" charset="0"/>
                                <a:ea typeface="+mn-ea"/>
                                <a:cs typeface="+mn-cs"/>
                              </a:defRPr>
                            </a:lvl7pPr>
                            <a:lvl8pPr marL="3200400" algn="l" defTabSz="457200" rtl="0" eaLnBrk="1" latinLnBrk="0" hangingPunct="1">
                              <a:defRPr kern="1200">
                                <a:solidFill>
                                  <a:schemeClr val="tx1"/>
                                </a:solidFill>
                                <a:latin typeface="Arial" charset="0"/>
                                <a:ea typeface="+mn-ea"/>
                                <a:cs typeface="+mn-cs"/>
                              </a:defRPr>
                            </a:lvl8pPr>
                            <a:lvl9pPr marL="3657600" algn="l" defTabSz="457200" rtl="0" eaLnBrk="1" latinLnBrk="0" hangingPunct="1">
                              <a:defRPr kern="1200">
                                <a:solidFill>
                                  <a:schemeClr val="tx1"/>
                                </a:solidFill>
                                <a:latin typeface="Arial" charset="0"/>
                                <a:ea typeface="+mn-ea"/>
                                <a:cs typeface="+mn-cs"/>
                              </a:defRPr>
                            </a:lvl9pPr>
                          </a:lstStyle>
                          <a:p>
                            <a:pPr marL="0" marR="0" indent="0" algn="l" defTabSz="914400" rtl="0" eaLnBrk="0" fontAlgn="base" latinLnBrk="0" hangingPunct="0">
                              <a:lnSpc>
                                <a:spcPct val="100000"/>
                              </a:lnSpc>
                              <a:spcBef>
                                <a:spcPct val="0"/>
                              </a:spcBef>
                              <a:spcAft>
                                <a:spcPct val="0"/>
                              </a:spcAft>
                              <a:buClrTx/>
                              <a:buSzTx/>
                              <a:buFontTx/>
                              <a:buNone/>
                              <a:tabLst/>
                            </a:pPr>
                            <a:endParaRPr kumimoji="0" lang="en-US" sz="1800" b="0" i="0" u="none" strike="noStrike" cap="none" normalizeH="0" baseline="0">
                              <a:ln>
                                <a:noFill/>
                              </a:ln>
                              <a:solidFill>
                                <a:schemeClr val="tx1"/>
                              </a:solidFill>
                              <a:effectLst/>
                              <a:latin typeface="Arial" charset="0"/>
                            </a:endParaRPr>
                          </a:p>
                        </a:txBody>
                        <a:useSpRect/>
                      </a:txSp>
                    </a:sp>
                    <a:sp>
                      <a:nvSpPr>
                        <a:cNvPr id="7" name="TextBox 6"/>
                        <a:cNvSpPr txBox="1"/>
                      </a:nvSpPr>
                      <a:spPr>
                        <a:xfrm>
                          <a:off x="4480133" y="917143"/>
                          <a:ext cx="1891451" cy="369332"/>
                        </a:xfrm>
                        <a:prstGeom prst="rect">
                          <a:avLst/>
                        </a:prstGeom>
                        <a:solidFill>
                          <a:srgbClr val="FFFFFF"/>
                        </a:solidFill>
                      </a:spPr>
                      <a:txSp>
                        <a:txBody>
                          <a:bodyPr wrap="none" rtlCol="0">
                            <a:spAutoFit/>
                          </a:bodyPr>
                          <a:lstStyle>
                            <a:defPPr>
                              <a:defRPr lang="en-US"/>
                            </a:defPPr>
                            <a:lvl1pPr algn="l" rtl="0" eaLnBrk="0" fontAlgn="base" hangingPunct="0">
                              <a:spcBef>
                                <a:spcPct val="0"/>
                              </a:spcBef>
                              <a:spcAft>
                                <a:spcPct val="0"/>
                              </a:spcAft>
                              <a:defRPr kern="1200">
                                <a:solidFill>
                                  <a:schemeClr val="tx1"/>
                                </a:solidFill>
                                <a:latin typeface="Arial" charset="0"/>
                                <a:ea typeface="+mn-ea"/>
                                <a:cs typeface="+mn-cs"/>
                              </a:defRPr>
                            </a:lvl1pPr>
                            <a:lvl2pPr marL="457200" algn="l" rtl="0" eaLnBrk="0" fontAlgn="base" hangingPunct="0">
                              <a:spcBef>
                                <a:spcPct val="0"/>
                              </a:spcBef>
                              <a:spcAft>
                                <a:spcPct val="0"/>
                              </a:spcAft>
                              <a:defRPr kern="1200">
                                <a:solidFill>
                                  <a:schemeClr val="tx1"/>
                                </a:solidFill>
                                <a:latin typeface="Arial" charset="0"/>
                                <a:ea typeface="+mn-ea"/>
                                <a:cs typeface="+mn-cs"/>
                              </a:defRPr>
                            </a:lvl2pPr>
                            <a:lvl3pPr marL="914400" algn="l" rtl="0" eaLnBrk="0" fontAlgn="base" hangingPunct="0">
                              <a:spcBef>
                                <a:spcPct val="0"/>
                              </a:spcBef>
                              <a:spcAft>
                                <a:spcPct val="0"/>
                              </a:spcAft>
                              <a:defRPr kern="1200">
                                <a:solidFill>
                                  <a:schemeClr val="tx1"/>
                                </a:solidFill>
                                <a:latin typeface="Arial" charset="0"/>
                                <a:ea typeface="+mn-ea"/>
                                <a:cs typeface="+mn-cs"/>
                              </a:defRPr>
                            </a:lvl3pPr>
                            <a:lvl4pPr marL="1371600" algn="l" rtl="0" eaLnBrk="0" fontAlgn="base" hangingPunct="0">
                              <a:spcBef>
                                <a:spcPct val="0"/>
                              </a:spcBef>
                              <a:spcAft>
                                <a:spcPct val="0"/>
                              </a:spcAft>
                              <a:defRPr kern="1200">
                                <a:solidFill>
                                  <a:schemeClr val="tx1"/>
                                </a:solidFill>
                                <a:latin typeface="Arial" charset="0"/>
                                <a:ea typeface="+mn-ea"/>
                                <a:cs typeface="+mn-cs"/>
                              </a:defRPr>
                            </a:lvl4pPr>
                            <a:lvl5pPr marL="1828800" algn="l" rtl="0" eaLnBrk="0" fontAlgn="base" hangingPunct="0">
                              <a:spcBef>
                                <a:spcPct val="0"/>
                              </a:spcBef>
                              <a:spcAft>
                                <a:spcPct val="0"/>
                              </a:spcAft>
                              <a:defRPr kern="1200">
                                <a:solidFill>
                                  <a:schemeClr val="tx1"/>
                                </a:solidFill>
                                <a:latin typeface="Arial" charset="0"/>
                                <a:ea typeface="+mn-ea"/>
                                <a:cs typeface="+mn-cs"/>
                              </a:defRPr>
                            </a:lvl5pPr>
                            <a:lvl6pPr marL="2286000" algn="l" defTabSz="457200" rtl="0" eaLnBrk="1" latinLnBrk="0" hangingPunct="1">
                              <a:defRPr kern="1200">
                                <a:solidFill>
                                  <a:schemeClr val="tx1"/>
                                </a:solidFill>
                                <a:latin typeface="Arial" charset="0"/>
                                <a:ea typeface="+mn-ea"/>
                                <a:cs typeface="+mn-cs"/>
                              </a:defRPr>
                            </a:lvl6pPr>
                            <a:lvl7pPr marL="2743200" algn="l" defTabSz="457200" rtl="0" eaLnBrk="1" latinLnBrk="0" hangingPunct="1">
                              <a:defRPr kern="1200">
                                <a:solidFill>
                                  <a:schemeClr val="tx1"/>
                                </a:solidFill>
                                <a:latin typeface="Arial" charset="0"/>
                                <a:ea typeface="+mn-ea"/>
                                <a:cs typeface="+mn-cs"/>
                              </a:defRPr>
                            </a:lvl7pPr>
                            <a:lvl8pPr marL="3200400" algn="l" defTabSz="457200" rtl="0" eaLnBrk="1" latinLnBrk="0" hangingPunct="1">
                              <a:defRPr kern="1200">
                                <a:solidFill>
                                  <a:schemeClr val="tx1"/>
                                </a:solidFill>
                                <a:latin typeface="Arial" charset="0"/>
                                <a:ea typeface="+mn-ea"/>
                                <a:cs typeface="+mn-cs"/>
                              </a:defRPr>
                            </a:lvl8pPr>
                            <a:lvl9pPr marL="3657600" algn="l" defTabSz="457200" rtl="0" eaLnBrk="1" latinLnBrk="0" hangingPunct="1">
                              <a:defRPr kern="1200">
                                <a:solidFill>
                                  <a:schemeClr val="tx1"/>
                                </a:solidFill>
                                <a:latin typeface="Arial" charset="0"/>
                                <a:ea typeface="+mn-ea"/>
                                <a:cs typeface="+mn-cs"/>
                              </a:defRPr>
                            </a:lvl9pPr>
                          </a:lstStyle>
                          <a:p>
                            <a:r>
                              <a:rPr lang="en-US" dirty="0" smtClean="0"/>
                              <a:t>51 pin connector</a:t>
                            </a:r>
                            <a:endParaRPr lang="en-US" dirty="0"/>
                          </a:p>
                        </a:txBody>
                        <a:useSpRect/>
                      </a:txSp>
                    </a:sp>
                    <a:sp>
                      <a:nvSpPr>
                        <a:cNvPr id="8" name="TextBox 7"/>
                        <a:cNvSpPr txBox="1"/>
                      </a:nvSpPr>
                      <a:spPr>
                        <a:xfrm>
                          <a:off x="4327267" y="6488668"/>
                          <a:ext cx="1621708" cy="369332"/>
                        </a:xfrm>
                        <a:prstGeom prst="rect">
                          <a:avLst/>
                        </a:prstGeom>
                        <a:solidFill>
                          <a:srgbClr val="FFFFFF"/>
                        </a:solidFill>
                      </a:spPr>
                      <a:txSp>
                        <a:txBody>
                          <a:bodyPr wrap="none" rtlCol="0">
                            <a:spAutoFit/>
                          </a:bodyPr>
                          <a:lstStyle>
                            <a:defPPr>
                              <a:defRPr lang="en-US"/>
                            </a:defPPr>
                            <a:lvl1pPr algn="l" rtl="0" eaLnBrk="0" fontAlgn="base" hangingPunct="0">
                              <a:spcBef>
                                <a:spcPct val="0"/>
                              </a:spcBef>
                              <a:spcAft>
                                <a:spcPct val="0"/>
                              </a:spcAft>
                              <a:defRPr kern="1200">
                                <a:solidFill>
                                  <a:schemeClr val="tx1"/>
                                </a:solidFill>
                                <a:latin typeface="Arial" charset="0"/>
                                <a:ea typeface="+mn-ea"/>
                                <a:cs typeface="+mn-cs"/>
                              </a:defRPr>
                            </a:lvl1pPr>
                            <a:lvl2pPr marL="457200" algn="l" rtl="0" eaLnBrk="0" fontAlgn="base" hangingPunct="0">
                              <a:spcBef>
                                <a:spcPct val="0"/>
                              </a:spcBef>
                              <a:spcAft>
                                <a:spcPct val="0"/>
                              </a:spcAft>
                              <a:defRPr kern="1200">
                                <a:solidFill>
                                  <a:schemeClr val="tx1"/>
                                </a:solidFill>
                                <a:latin typeface="Arial" charset="0"/>
                                <a:ea typeface="+mn-ea"/>
                                <a:cs typeface="+mn-cs"/>
                              </a:defRPr>
                            </a:lvl2pPr>
                            <a:lvl3pPr marL="914400" algn="l" rtl="0" eaLnBrk="0" fontAlgn="base" hangingPunct="0">
                              <a:spcBef>
                                <a:spcPct val="0"/>
                              </a:spcBef>
                              <a:spcAft>
                                <a:spcPct val="0"/>
                              </a:spcAft>
                              <a:defRPr kern="1200">
                                <a:solidFill>
                                  <a:schemeClr val="tx1"/>
                                </a:solidFill>
                                <a:latin typeface="Arial" charset="0"/>
                                <a:ea typeface="+mn-ea"/>
                                <a:cs typeface="+mn-cs"/>
                              </a:defRPr>
                            </a:lvl3pPr>
                            <a:lvl4pPr marL="1371600" algn="l" rtl="0" eaLnBrk="0" fontAlgn="base" hangingPunct="0">
                              <a:spcBef>
                                <a:spcPct val="0"/>
                              </a:spcBef>
                              <a:spcAft>
                                <a:spcPct val="0"/>
                              </a:spcAft>
                              <a:defRPr kern="1200">
                                <a:solidFill>
                                  <a:schemeClr val="tx1"/>
                                </a:solidFill>
                                <a:latin typeface="Arial" charset="0"/>
                                <a:ea typeface="+mn-ea"/>
                                <a:cs typeface="+mn-cs"/>
                              </a:defRPr>
                            </a:lvl4pPr>
                            <a:lvl5pPr marL="1828800" algn="l" rtl="0" eaLnBrk="0" fontAlgn="base" hangingPunct="0">
                              <a:spcBef>
                                <a:spcPct val="0"/>
                              </a:spcBef>
                              <a:spcAft>
                                <a:spcPct val="0"/>
                              </a:spcAft>
                              <a:defRPr kern="1200">
                                <a:solidFill>
                                  <a:schemeClr val="tx1"/>
                                </a:solidFill>
                                <a:latin typeface="Arial" charset="0"/>
                                <a:ea typeface="+mn-ea"/>
                                <a:cs typeface="+mn-cs"/>
                              </a:defRPr>
                            </a:lvl5pPr>
                            <a:lvl6pPr marL="2286000" algn="l" defTabSz="457200" rtl="0" eaLnBrk="1" latinLnBrk="0" hangingPunct="1">
                              <a:defRPr kern="1200">
                                <a:solidFill>
                                  <a:schemeClr val="tx1"/>
                                </a:solidFill>
                                <a:latin typeface="Arial" charset="0"/>
                                <a:ea typeface="+mn-ea"/>
                                <a:cs typeface="+mn-cs"/>
                              </a:defRPr>
                            </a:lvl6pPr>
                            <a:lvl7pPr marL="2743200" algn="l" defTabSz="457200" rtl="0" eaLnBrk="1" latinLnBrk="0" hangingPunct="1">
                              <a:defRPr kern="1200">
                                <a:solidFill>
                                  <a:schemeClr val="tx1"/>
                                </a:solidFill>
                                <a:latin typeface="Arial" charset="0"/>
                                <a:ea typeface="+mn-ea"/>
                                <a:cs typeface="+mn-cs"/>
                              </a:defRPr>
                            </a:lvl7pPr>
                            <a:lvl8pPr marL="3200400" algn="l" defTabSz="457200" rtl="0" eaLnBrk="1" latinLnBrk="0" hangingPunct="1">
                              <a:defRPr kern="1200">
                                <a:solidFill>
                                  <a:schemeClr val="tx1"/>
                                </a:solidFill>
                                <a:latin typeface="Arial" charset="0"/>
                                <a:ea typeface="+mn-ea"/>
                                <a:cs typeface="+mn-cs"/>
                              </a:defRPr>
                            </a:lvl8pPr>
                            <a:lvl9pPr marL="3657600" algn="l" defTabSz="457200" rtl="0" eaLnBrk="1" latinLnBrk="0" hangingPunct="1">
                              <a:defRPr kern="1200">
                                <a:solidFill>
                                  <a:schemeClr val="tx1"/>
                                </a:solidFill>
                                <a:latin typeface="Arial" charset="0"/>
                                <a:ea typeface="+mn-ea"/>
                                <a:cs typeface="+mn-cs"/>
                              </a:defRPr>
                            </a:lvl9pPr>
                          </a:lstStyle>
                          <a:p>
                            <a:r>
                              <a:rPr lang="en-US" dirty="0" smtClean="0"/>
                              <a:t>Alignment Pin</a:t>
                            </a:r>
                            <a:endParaRPr lang="en-US" dirty="0"/>
                          </a:p>
                        </a:txBody>
                        <a:useSpRect/>
                      </a:txSp>
                    </a:sp>
                    <a:sp>
                      <a:nvSpPr>
                        <a:cNvPr id="9" name="TextBox 8"/>
                        <a:cNvSpPr txBox="1"/>
                      </a:nvSpPr>
                      <a:spPr>
                        <a:xfrm>
                          <a:off x="7255230" y="6519446"/>
                          <a:ext cx="1313881" cy="338554"/>
                        </a:xfrm>
                        <a:prstGeom prst="rect">
                          <a:avLst/>
                        </a:prstGeom>
                        <a:solidFill>
                          <a:srgbClr val="FFFFFF"/>
                        </a:solidFill>
                      </a:spPr>
                      <a:txSp>
                        <a:txBody>
                          <a:bodyPr wrap="none" rtlCol="0">
                            <a:spAutoFit/>
                          </a:bodyPr>
                          <a:lstStyle>
                            <a:defPPr>
                              <a:defRPr lang="en-US"/>
                            </a:defPPr>
                            <a:lvl1pPr algn="l" rtl="0" eaLnBrk="0" fontAlgn="base" hangingPunct="0">
                              <a:spcBef>
                                <a:spcPct val="0"/>
                              </a:spcBef>
                              <a:spcAft>
                                <a:spcPct val="0"/>
                              </a:spcAft>
                              <a:defRPr kern="1200">
                                <a:solidFill>
                                  <a:schemeClr val="tx1"/>
                                </a:solidFill>
                                <a:latin typeface="Arial" charset="0"/>
                                <a:ea typeface="+mn-ea"/>
                                <a:cs typeface="+mn-cs"/>
                              </a:defRPr>
                            </a:lvl1pPr>
                            <a:lvl2pPr marL="457200" algn="l" rtl="0" eaLnBrk="0" fontAlgn="base" hangingPunct="0">
                              <a:spcBef>
                                <a:spcPct val="0"/>
                              </a:spcBef>
                              <a:spcAft>
                                <a:spcPct val="0"/>
                              </a:spcAft>
                              <a:defRPr kern="1200">
                                <a:solidFill>
                                  <a:schemeClr val="tx1"/>
                                </a:solidFill>
                                <a:latin typeface="Arial" charset="0"/>
                                <a:ea typeface="+mn-ea"/>
                                <a:cs typeface="+mn-cs"/>
                              </a:defRPr>
                            </a:lvl2pPr>
                            <a:lvl3pPr marL="914400" algn="l" rtl="0" eaLnBrk="0" fontAlgn="base" hangingPunct="0">
                              <a:spcBef>
                                <a:spcPct val="0"/>
                              </a:spcBef>
                              <a:spcAft>
                                <a:spcPct val="0"/>
                              </a:spcAft>
                              <a:defRPr kern="1200">
                                <a:solidFill>
                                  <a:schemeClr val="tx1"/>
                                </a:solidFill>
                                <a:latin typeface="Arial" charset="0"/>
                                <a:ea typeface="+mn-ea"/>
                                <a:cs typeface="+mn-cs"/>
                              </a:defRPr>
                            </a:lvl3pPr>
                            <a:lvl4pPr marL="1371600" algn="l" rtl="0" eaLnBrk="0" fontAlgn="base" hangingPunct="0">
                              <a:spcBef>
                                <a:spcPct val="0"/>
                              </a:spcBef>
                              <a:spcAft>
                                <a:spcPct val="0"/>
                              </a:spcAft>
                              <a:defRPr kern="1200">
                                <a:solidFill>
                                  <a:schemeClr val="tx1"/>
                                </a:solidFill>
                                <a:latin typeface="Arial" charset="0"/>
                                <a:ea typeface="+mn-ea"/>
                                <a:cs typeface="+mn-cs"/>
                              </a:defRPr>
                            </a:lvl4pPr>
                            <a:lvl5pPr marL="1828800" algn="l" rtl="0" eaLnBrk="0" fontAlgn="base" hangingPunct="0">
                              <a:spcBef>
                                <a:spcPct val="0"/>
                              </a:spcBef>
                              <a:spcAft>
                                <a:spcPct val="0"/>
                              </a:spcAft>
                              <a:defRPr kern="1200">
                                <a:solidFill>
                                  <a:schemeClr val="tx1"/>
                                </a:solidFill>
                                <a:latin typeface="Arial" charset="0"/>
                                <a:ea typeface="+mn-ea"/>
                                <a:cs typeface="+mn-cs"/>
                              </a:defRPr>
                            </a:lvl5pPr>
                            <a:lvl6pPr marL="2286000" algn="l" defTabSz="457200" rtl="0" eaLnBrk="1" latinLnBrk="0" hangingPunct="1">
                              <a:defRPr kern="1200">
                                <a:solidFill>
                                  <a:schemeClr val="tx1"/>
                                </a:solidFill>
                                <a:latin typeface="Arial" charset="0"/>
                                <a:ea typeface="+mn-ea"/>
                                <a:cs typeface="+mn-cs"/>
                              </a:defRPr>
                            </a:lvl6pPr>
                            <a:lvl7pPr marL="2743200" algn="l" defTabSz="457200" rtl="0" eaLnBrk="1" latinLnBrk="0" hangingPunct="1">
                              <a:defRPr kern="1200">
                                <a:solidFill>
                                  <a:schemeClr val="tx1"/>
                                </a:solidFill>
                                <a:latin typeface="Arial" charset="0"/>
                                <a:ea typeface="+mn-ea"/>
                                <a:cs typeface="+mn-cs"/>
                              </a:defRPr>
                            </a:lvl7pPr>
                            <a:lvl8pPr marL="3200400" algn="l" defTabSz="457200" rtl="0" eaLnBrk="1" latinLnBrk="0" hangingPunct="1">
                              <a:defRPr kern="1200">
                                <a:solidFill>
                                  <a:schemeClr val="tx1"/>
                                </a:solidFill>
                                <a:latin typeface="Arial" charset="0"/>
                                <a:ea typeface="+mn-ea"/>
                                <a:cs typeface="+mn-cs"/>
                              </a:defRPr>
                            </a:lvl8pPr>
                            <a:lvl9pPr marL="3657600" algn="l" defTabSz="457200" rtl="0" eaLnBrk="1" latinLnBrk="0" hangingPunct="1">
                              <a:defRPr kern="1200">
                                <a:solidFill>
                                  <a:schemeClr val="tx1"/>
                                </a:solidFill>
                                <a:latin typeface="Arial" charset="0"/>
                                <a:ea typeface="+mn-ea"/>
                                <a:cs typeface="+mn-cs"/>
                              </a:defRPr>
                            </a:lvl9pPr>
                          </a:lstStyle>
                          <a:p>
                            <a:r>
                              <a:rPr lang="en-US" sz="1600" dirty="0" smtClean="0"/>
                              <a:t>Interconnect</a:t>
                            </a:r>
                            <a:endParaRPr lang="en-US" sz="1600" dirty="0"/>
                          </a:p>
                        </a:txBody>
                        <a:useSpRect/>
                      </a:txSp>
                    </a:sp>
                    <a:sp>
                      <a:nvSpPr>
                        <a:cNvPr id="10" name="TextBox 9"/>
                        <a:cNvSpPr txBox="1"/>
                      </a:nvSpPr>
                      <a:spPr>
                        <a:xfrm rot="16200000">
                          <a:off x="9035426" y="3057146"/>
                          <a:ext cx="586481" cy="369332"/>
                        </a:xfrm>
                        <a:prstGeom prst="rect">
                          <a:avLst/>
                        </a:prstGeom>
                        <a:noFill/>
                      </a:spPr>
                      <a:txSp>
                        <a:txBody>
                          <a:bodyPr wrap="none" rtlCol="0">
                            <a:spAutoFit/>
                          </a:bodyPr>
                          <a:lstStyle>
                            <a:defPPr>
                              <a:defRPr lang="en-US"/>
                            </a:defPPr>
                            <a:lvl1pPr algn="l" rtl="0" eaLnBrk="0" fontAlgn="base" hangingPunct="0">
                              <a:spcBef>
                                <a:spcPct val="0"/>
                              </a:spcBef>
                              <a:spcAft>
                                <a:spcPct val="0"/>
                              </a:spcAft>
                              <a:defRPr kern="1200">
                                <a:solidFill>
                                  <a:schemeClr val="tx1"/>
                                </a:solidFill>
                                <a:latin typeface="Arial" charset="0"/>
                                <a:ea typeface="+mn-ea"/>
                                <a:cs typeface="+mn-cs"/>
                              </a:defRPr>
                            </a:lvl1pPr>
                            <a:lvl2pPr marL="457200" algn="l" rtl="0" eaLnBrk="0" fontAlgn="base" hangingPunct="0">
                              <a:spcBef>
                                <a:spcPct val="0"/>
                              </a:spcBef>
                              <a:spcAft>
                                <a:spcPct val="0"/>
                              </a:spcAft>
                              <a:defRPr kern="1200">
                                <a:solidFill>
                                  <a:schemeClr val="tx1"/>
                                </a:solidFill>
                                <a:latin typeface="Arial" charset="0"/>
                                <a:ea typeface="+mn-ea"/>
                                <a:cs typeface="+mn-cs"/>
                              </a:defRPr>
                            </a:lvl2pPr>
                            <a:lvl3pPr marL="914400" algn="l" rtl="0" eaLnBrk="0" fontAlgn="base" hangingPunct="0">
                              <a:spcBef>
                                <a:spcPct val="0"/>
                              </a:spcBef>
                              <a:spcAft>
                                <a:spcPct val="0"/>
                              </a:spcAft>
                              <a:defRPr kern="1200">
                                <a:solidFill>
                                  <a:schemeClr val="tx1"/>
                                </a:solidFill>
                                <a:latin typeface="Arial" charset="0"/>
                                <a:ea typeface="+mn-ea"/>
                                <a:cs typeface="+mn-cs"/>
                              </a:defRPr>
                            </a:lvl3pPr>
                            <a:lvl4pPr marL="1371600" algn="l" rtl="0" eaLnBrk="0" fontAlgn="base" hangingPunct="0">
                              <a:spcBef>
                                <a:spcPct val="0"/>
                              </a:spcBef>
                              <a:spcAft>
                                <a:spcPct val="0"/>
                              </a:spcAft>
                              <a:defRPr kern="1200">
                                <a:solidFill>
                                  <a:schemeClr val="tx1"/>
                                </a:solidFill>
                                <a:latin typeface="Arial" charset="0"/>
                                <a:ea typeface="+mn-ea"/>
                                <a:cs typeface="+mn-cs"/>
                              </a:defRPr>
                            </a:lvl4pPr>
                            <a:lvl5pPr marL="1828800" algn="l" rtl="0" eaLnBrk="0" fontAlgn="base" hangingPunct="0">
                              <a:spcBef>
                                <a:spcPct val="0"/>
                              </a:spcBef>
                              <a:spcAft>
                                <a:spcPct val="0"/>
                              </a:spcAft>
                              <a:defRPr kern="1200">
                                <a:solidFill>
                                  <a:schemeClr val="tx1"/>
                                </a:solidFill>
                                <a:latin typeface="Arial" charset="0"/>
                                <a:ea typeface="+mn-ea"/>
                                <a:cs typeface="+mn-cs"/>
                              </a:defRPr>
                            </a:lvl5pPr>
                            <a:lvl6pPr marL="2286000" algn="l" defTabSz="457200" rtl="0" eaLnBrk="1" latinLnBrk="0" hangingPunct="1">
                              <a:defRPr kern="1200">
                                <a:solidFill>
                                  <a:schemeClr val="tx1"/>
                                </a:solidFill>
                                <a:latin typeface="Arial" charset="0"/>
                                <a:ea typeface="+mn-ea"/>
                                <a:cs typeface="+mn-cs"/>
                              </a:defRPr>
                            </a:lvl6pPr>
                            <a:lvl7pPr marL="2743200" algn="l" defTabSz="457200" rtl="0" eaLnBrk="1" latinLnBrk="0" hangingPunct="1">
                              <a:defRPr kern="1200">
                                <a:solidFill>
                                  <a:schemeClr val="tx1"/>
                                </a:solidFill>
                                <a:latin typeface="Arial" charset="0"/>
                                <a:ea typeface="+mn-ea"/>
                                <a:cs typeface="+mn-cs"/>
                              </a:defRPr>
                            </a:lvl7pPr>
                            <a:lvl8pPr marL="3200400" algn="l" defTabSz="457200" rtl="0" eaLnBrk="1" latinLnBrk="0" hangingPunct="1">
                              <a:defRPr kern="1200">
                                <a:solidFill>
                                  <a:schemeClr val="tx1"/>
                                </a:solidFill>
                                <a:latin typeface="Arial" charset="0"/>
                                <a:ea typeface="+mn-ea"/>
                                <a:cs typeface="+mn-cs"/>
                              </a:defRPr>
                            </a:lvl8pPr>
                            <a:lvl9pPr marL="3657600" algn="l" defTabSz="457200" rtl="0" eaLnBrk="1" latinLnBrk="0" hangingPunct="1">
                              <a:defRPr kern="1200">
                                <a:solidFill>
                                  <a:schemeClr val="tx1"/>
                                </a:solidFill>
                                <a:latin typeface="Arial" charset="0"/>
                                <a:ea typeface="+mn-ea"/>
                                <a:cs typeface="+mn-cs"/>
                              </a:defRPr>
                            </a:lvl9pPr>
                          </a:lstStyle>
                          <a:p>
                            <a:r>
                              <a:rPr lang="en-US" dirty="0" smtClean="0"/>
                              <a:t>FFL</a:t>
                            </a:r>
                            <a:endParaRPr lang="en-US" dirty="0"/>
                          </a:p>
                        </a:txBody>
                        <a:useSpRect/>
                      </a:txSp>
                    </a:sp>
                  </a:grpSp>
                </lc:lockedCanvas>
              </a:graphicData>
            </a:graphic>
          </wp:inline>
        </w:drawing>
      </w:r>
    </w:p>
    <w:p w:rsidR="00404448" w:rsidRDefault="00404448" w:rsidP="00404448">
      <w:pPr>
        <w:pStyle w:val="Caption"/>
        <w:rPr>
          <w:b w:val="0"/>
        </w:rPr>
      </w:pPr>
      <w:bookmarkStart w:id="116" w:name="_Toc322942251"/>
      <w:r>
        <w:t xml:space="preserve">Figure </w:t>
      </w:r>
      <w:fldSimple w:instr=" SEQ Figure \* ARABIC ">
        <w:r w:rsidR="000D2EB4">
          <w:rPr>
            <w:noProof/>
          </w:rPr>
          <w:t>21</w:t>
        </w:r>
      </w:fldSimple>
      <w:r>
        <w:t>:  Physical Layout of a single CCD module.  Left:  Isometric view from below.  Right:  Side view showing interconnect wires.</w:t>
      </w:r>
      <w:bookmarkEnd w:id="116"/>
    </w:p>
    <w:p w:rsidR="00404448" w:rsidRPr="00475461" w:rsidRDefault="00404448" w:rsidP="00404448">
      <w:pPr>
        <w:pStyle w:val="Caption"/>
        <w:rPr>
          <w:b w:val="0"/>
        </w:rPr>
      </w:pPr>
      <w:r w:rsidRPr="00475461">
        <w:rPr>
          <w:b w:val="0"/>
        </w:rPr>
        <w:t>The module interface provides the electrical, thermal and mechanical interface between the CCD modules and the detector elect</w:t>
      </w:r>
      <w:r>
        <w:rPr>
          <w:b w:val="0"/>
        </w:rPr>
        <w:t>ronics as well as the mechanical</w:t>
      </w:r>
      <w:r w:rsidRPr="00475461">
        <w:rPr>
          <w:b w:val="0"/>
        </w:rPr>
        <w:t xml:space="preserve"> interface to the graphite composite support </w:t>
      </w:r>
      <w:r>
        <w:rPr>
          <w:b w:val="0"/>
        </w:rPr>
        <w:t>“</w:t>
      </w:r>
      <w:r w:rsidRPr="00475461">
        <w:rPr>
          <w:b w:val="0"/>
        </w:rPr>
        <w:t xml:space="preserve">spider" legs that suspend the FPAA over the primary mirror.  </w:t>
      </w:r>
      <w:r>
        <w:rPr>
          <w:b w:val="0"/>
        </w:rPr>
        <w:t>T</w:t>
      </w:r>
      <w:r w:rsidRPr="00475461">
        <w:rPr>
          <w:b w:val="0"/>
        </w:rPr>
        <w:t>he invar substrate contains 25 precision cut module planes with alignment registration features that engage pins on the CCD modules.  Exhaustive processing and metrology was required throughout the fabrication of the invar substrate to maintain its CTE p</w:t>
      </w:r>
      <w:r>
        <w:rPr>
          <w:b w:val="0"/>
        </w:rPr>
        <w:t>roperties and mechanical figure</w:t>
      </w:r>
      <w:r w:rsidR="00BC11BE">
        <w:rPr>
          <w:b w:val="0"/>
        </w:rPr>
        <w:t xml:space="preserve">.  </w:t>
      </w:r>
      <w:r w:rsidRPr="00475461">
        <w:rPr>
          <w:b w:val="0"/>
        </w:rPr>
        <w:t xml:space="preserve">Low thermal conductivity flex circuit cables penetrate the substrate with floating connectors that engage the CCD modules.  Specialized tooling was developed for module installation and module removal within the confines of particulate control and the strict ESD precautions required when handling un-shorted CCDs.  Five flex cables connect between the CCD modules and the clock driver/video amplifier electronic components of the LDE.  </w:t>
      </w:r>
    </w:p>
    <w:p w:rsidR="00404448" w:rsidRPr="00DC2AE4" w:rsidRDefault="00404448" w:rsidP="00404448">
      <w:pPr>
        <w:pStyle w:val="Caption"/>
        <w:rPr>
          <w:b w:val="0"/>
        </w:rPr>
      </w:pPr>
      <w:r>
        <w:rPr>
          <w:b w:val="0"/>
        </w:rPr>
        <w:t>A heat pipe from the space-</w:t>
      </w:r>
      <w:r w:rsidRPr="00475461">
        <w:rPr>
          <w:b w:val="0"/>
        </w:rPr>
        <w:t>staring radiator attach</w:t>
      </w:r>
      <w:r w:rsidR="004D19E2">
        <w:rPr>
          <w:b w:val="0"/>
        </w:rPr>
        <w:t>es</w:t>
      </w:r>
      <w:r w:rsidRPr="00475461">
        <w:rPr>
          <w:b w:val="0"/>
        </w:rPr>
        <w:t xml:space="preserve"> to the radiator heat pipe interfaces on the heat spreader assembly.  Thermal straps between the heat spreader and the flexure mounted invar substrate provide a high conductance thermal path to the CCD modules.  Closed loop thermal control of the CCD modules is maintained by proportionally controlled heaters and precision temperature sensors mounted to the heat spreader</w:t>
      </w:r>
      <w:r>
        <w:rPr>
          <w:b w:val="0"/>
        </w:rPr>
        <w:t xml:space="preserve">, providing better than </w:t>
      </w:r>
      <w:r w:rsidRPr="00475461">
        <w:rPr>
          <w:b w:val="0"/>
        </w:rPr>
        <w:t>10 mK thermal stability at the module le</w:t>
      </w:r>
      <w:r>
        <w:rPr>
          <w:b w:val="0"/>
        </w:rPr>
        <w:t>vel</w:t>
      </w:r>
      <w:r w:rsidRPr="00475461">
        <w:rPr>
          <w:b w:val="0"/>
        </w:rPr>
        <w:t>.  Titanium flexures attach the substrate to the weight relieved titanium hub which provides a stiff mechanical interface to the graphite composite "spider" legs.</w:t>
      </w:r>
      <w:r>
        <w:rPr>
          <w:b w:val="0"/>
        </w:rPr>
        <w:t xml:space="preserve">  </w:t>
      </w:r>
      <w:r w:rsidRPr="00DC2AE4">
        <w:rPr>
          <w:b w:val="0"/>
        </w:rPr>
        <w:t xml:space="preserve">See </w:t>
      </w:r>
      <w:r w:rsidR="004C78B9" w:rsidRPr="00DC2AE4">
        <w:rPr>
          <w:b w:val="0"/>
        </w:rPr>
        <w:fldChar w:fldCharType="begin"/>
      </w:r>
      <w:r w:rsidRPr="00DC2AE4">
        <w:rPr>
          <w:b w:val="0"/>
        </w:rPr>
        <w:instrText xml:space="preserve"> REF _Ref205958436 \h </w:instrText>
      </w:r>
      <w:r w:rsidR="002559BD" w:rsidRPr="004C78B9">
        <w:rPr>
          <w:b w:val="0"/>
        </w:rPr>
      </w:r>
      <w:r w:rsidR="004C78B9" w:rsidRPr="00DC2AE4">
        <w:rPr>
          <w:b w:val="0"/>
        </w:rPr>
        <w:fldChar w:fldCharType="separate"/>
      </w:r>
      <w:r w:rsidR="000D2EB4">
        <w:t xml:space="preserve">Figure </w:t>
      </w:r>
      <w:r w:rsidR="000D2EB4">
        <w:rPr>
          <w:noProof/>
        </w:rPr>
        <w:t>4</w:t>
      </w:r>
      <w:r w:rsidR="004C78B9" w:rsidRPr="00DC2AE4">
        <w:rPr>
          <w:b w:val="0"/>
        </w:rPr>
        <w:fldChar w:fldCharType="end"/>
      </w:r>
      <w:r w:rsidRPr="00DC2AE4">
        <w:rPr>
          <w:b w:val="0"/>
        </w:rPr>
        <w:t xml:space="preserve"> and </w:t>
      </w:r>
      <w:r w:rsidR="004C78B9" w:rsidRPr="00DC2AE4">
        <w:rPr>
          <w:b w:val="0"/>
        </w:rPr>
        <w:fldChar w:fldCharType="begin"/>
      </w:r>
      <w:r w:rsidRPr="00DC2AE4">
        <w:rPr>
          <w:b w:val="0"/>
        </w:rPr>
        <w:instrText xml:space="preserve"> REF _Ref205786387 \h </w:instrText>
      </w:r>
      <w:r w:rsidR="002559BD" w:rsidRPr="004C78B9">
        <w:rPr>
          <w:b w:val="0"/>
        </w:rPr>
      </w:r>
      <w:r w:rsidR="004C78B9" w:rsidRPr="00DC2AE4">
        <w:rPr>
          <w:b w:val="0"/>
        </w:rPr>
        <w:fldChar w:fldCharType="separate"/>
      </w:r>
      <w:r w:rsidR="000D2EB4">
        <w:t xml:space="preserve">Figure </w:t>
      </w:r>
      <w:r w:rsidR="000D2EB4">
        <w:rPr>
          <w:noProof/>
        </w:rPr>
        <w:t>22</w:t>
      </w:r>
      <w:r w:rsidR="004C78B9" w:rsidRPr="00DC2AE4">
        <w:rPr>
          <w:b w:val="0"/>
        </w:rPr>
        <w:fldChar w:fldCharType="end"/>
      </w:r>
      <w:r w:rsidRPr="00DC2AE4">
        <w:rPr>
          <w:b w:val="0"/>
        </w:rPr>
        <w:t>.</w:t>
      </w:r>
    </w:p>
    <w:p w:rsidR="00404448" w:rsidRPr="004F7767" w:rsidRDefault="00404448" w:rsidP="00404448">
      <w:r>
        <w:t xml:space="preserve">The orientation of the CCDs on their substrate is shown in </w:t>
      </w:r>
      <w:r w:rsidR="004C78B9">
        <w:fldChar w:fldCharType="begin"/>
      </w:r>
      <w:r w:rsidR="00C903B6">
        <w:instrText xml:space="preserve"> REF _Ref105749807 \h </w:instrText>
      </w:r>
      <w:r w:rsidR="004C78B9">
        <w:fldChar w:fldCharType="separate"/>
      </w:r>
      <w:r w:rsidR="000D2EB4">
        <w:t xml:space="preserve">Figure </w:t>
      </w:r>
      <w:r w:rsidR="000D2EB4">
        <w:rPr>
          <w:noProof/>
        </w:rPr>
        <w:t>23</w:t>
      </w:r>
      <w:r w:rsidR="004C78B9">
        <w:fldChar w:fldCharType="end"/>
      </w:r>
      <w:r>
        <w:t xml:space="preserve"> and </w:t>
      </w:r>
      <w:r w:rsidR="004C78B9">
        <w:fldChar w:fldCharType="begin"/>
      </w:r>
      <w:r w:rsidR="00C903B6">
        <w:instrText xml:space="preserve"> REF _Ref205722006 \h </w:instrText>
      </w:r>
      <w:r w:rsidR="004C78B9">
        <w:fldChar w:fldCharType="separate"/>
      </w:r>
      <w:r w:rsidR="000D2EB4">
        <w:t xml:space="preserve">Figure </w:t>
      </w:r>
      <w:r w:rsidR="000D2EB4">
        <w:rPr>
          <w:noProof/>
        </w:rPr>
        <w:t>24</w:t>
      </w:r>
      <w:r w:rsidR="004C78B9">
        <w:fldChar w:fldCharType="end"/>
      </w:r>
      <w:r>
        <w:t xml:space="preserve">.  The orientation of the FPAA in the telescope was set to 13 degrees rotation in X in spacecraft coordinates.  This rotation, along the location of the optical axis on the sky, was chosen to maximize the number of bright stars </w:t>
      </w:r>
      <w:r w:rsidR="004D19E2">
        <w:t xml:space="preserve">that </w:t>
      </w:r>
      <w:r>
        <w:t xml:space="preserve">could be placed in the gaps between the CCDs, since bright stars make precise photometry difficult or impossible for their neighbors. </w:t>
      </w:r>
      <w:r w:rsidR="004D19E2">
        <w:t xml:space="preserve">During the </w:t>
      </w:r>
      <w:r w:rsidR="004D19E2">
        <w:rPr>
          <w:i/>
        </w:rPr>
        <w:t>Kepler Mission</w:t>
      </w:r>
      <w:r w:rsidR="00C27C3D">
        <w:rPr>
          <w:i/>
        </w:rPr>
        <w:t xml:space="preserve"> </w:t>
      </w:r>
      <w:r w:rsidR="00C27C3D">
        <w:t>t</w:t>
      </w:r>
      <w:r w:rsidR="004D19E2">
        <w:t xml:space="preserve">he </w:t>
      </w:r>
      <w:r>
        <w:t>brightest star on active silicon has V = 4.58, and there are only 11 stars brighter than V = 6.0 on active silicon.  Further containment of bright star effects was achieved by  making the focal plane fourfold rotation symmetric, with the exception of the central module (#13).  Thus, the vertical (along column) charge bleeding from bright stars afflicts the same portion of the sky each quarter, so no additional FOV losses from charge bleeding are incurred with the quarterly rotations.</w:t>
      </w:r>
    </w:p>
    <w:p w:rsidR="00404448" w:rsidRPr="00475461" w:rsidRDefault="00404448" w:rsidP="00404448"/>
    <w:p w:rsidR="00404448" w:rsidRDefault="004C78B9" w:rsidP="00404448">
      <w:pPr>
        <w:keepNext/>
      </w:pPr>
      <w:r>
        <w:pict>
          <v:shape id="_x0000_i1028" type="#_x0000_t75" style="width:410.25pt;height:222.15pt" filled="t">
            <v:imagedata r:id="rId45" o:title=""/>
          </v:shape>
        </w:pict>
      </w:r>
    </w:p>
    <w:p w:rsidR="00404448" w:rsidRDefault="00404448" w:rsidP="00404448">
      <w:pPr>
        <w:pStyle w:val="Caption"/>
      </w:pPr>
      <w:bookmarkStart w:id="117" w:name="_Ref205786387"/>
      <w:bookmarkStart w:id="118" w:name="_Toc322942252"/>
      <w:r>
        <w:t xml:space="preserve">Figure </w:t>
      </w:r>
      <w:fldSimple w:instr=" SEQ Figure \* ARABIC ">
        <w:r w:rsidR="000D2EB4">
          <w:rPr>
            <w:noProof/>
          </w:rPr>
          <w:t>22</w:t>
        </w:r>
      </w:fldSimple>
      <w:bookmarkEnd w:id="117"/>
      <w:r>
        <w:t xml:space="preserve">:  Module interface substrate of </w:t>
      </w:r>
      <w:r w:rsidR="004A3FBE" w:rsidRPr="004A3FBE">
        <w:rPr>
          <w:i/>
        </w:rPr>
        <w:t>Kepler</w:t>
      </w:r>
      <w:r>
        <w:t xml:space="preserve"> focal plane.  21 Science modules are laid out on the Invar substrate.  The 4 FGS modules are placed in the corners of the substrate, as is better seen in </w:t>
      </w:r>
      <w:r w:rsidR="004C78B9">
        <w:fldChar w:fldCharType="begin"/>
      </w:r>
      <w:r w:rsidR="00C903B6">
        <w:instrText xml:space="preserve"> REF _Ref205722006 \h </w:instrText>
      </w:r>
      <w:r w:rsidR="004C78B9">
        <w:fldChar w:fldCharType="separate"/>
      </w:r>
      <w:r w:rsidR="000D2EB4">
        <w:t xml:space="preserve">Figure </w:t>
      </w:r>
      <w:r w:rsidR="000D2EB4">
        <w:rPr>
          <w:noProof/>
        </w:rPr>
        <w:t>24</w:t>
      </w:r>
      <w:r w:rsidR="004C78B9">
        <w:fldChar w:fldCharType="end"/>
      </w:r>
      <w:r>
        <w:t>.</w:t>
      </w:r>
      <w:bookmarkEnd w:id="118"/>
    </w:p>
    <w:p w:rsidR="00404448" w:rsidRDefault="000518AB" w:rsidP="00404448">
      <w:pPr>
        <w:keepNext/>
        <w:jc w:val="center"/>
      </w:pPr>
      <w:r>
        <w:rPr>
          <w:noProof/>
        </w:rPr>
        <w:drawing>
          <wp:inline distT="0" distB="0" distL="0" distR="0">
            <wp:extent cx="5939790" cy="6620510"/>
            <wp:effectExtent l="25400" t="0" r="3810" b="0"/>
            <wp:docPr id="29" name="Picture 29" descr="substrate_module_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ubstrate_module_map"/>
                    <pic:cNvPicPr>
                      <a:picLocks noChangeAspect="1" noChangeArrowheads="1"/>
                    </pic:cNvPicPr>
                  </pic:nvPicPr>
                  <pic:blipFill>
                    <a:blip r:embed="rId46"/>
                    <a:srcRect/>
                    <a:stretch>
                      <a:fillRect/>
                    </a:stretch>
                  </pic:blipFill>
                  <pic:spPr bwMode="auto">
                    <a:xfrm>
                      <a:off x="0" y="0"/>
                      <a:ext cx="5939790" cy="6620510"/>
                    </a:xfrm>
                    <a:prstGeom prst="rect">
                      <a:avLst/>
                    </a:prstGeom>
                    <a:noFill/>
                    <a:ln w="9525">
                      <a:noFill/>
                      <a:miter lim="800000"/>
                      <a:headEnd/>
                      <a:tailEnd/>
                    </a:ln>
                  </pic:spPr>
                </pic:pic>
              </a:graphicData>
            </a:graphic>
          </wp:inline>
        </w:drawing>
      </w:r>
    </w:p>
    <w:p w:rsidR="00404448" w:rsidRDefault="00404448" w:rsidP="00404448">
      <w:pPr>
        <w:pStyle w:val="Caption"/>
      </w:pPr>
      <w:bookmarkStart w:id="119" w:name="_Ref105749807"/>
      <w:bookmarkStart w:id="120" w:name="_Toc322942253"/>
      <w:r>
        <w:t xml:space="preserve">Figure </w:t>
      </w:r>
      <w:fldSimple w:instr=" SEQ Figure \* ARABIC ">
        <w:r w:rsidR="000D2EB4">
          <w:rPr>
            <w:noProof/>
          </w:rPr>
          <w:t>23</w:t>
        </w:r>
      </w:fldSimple>
      <w:bookmarkEnd w:id="119"/>
      <w:r>
        <w:t xml:space="preserve">:  Substrate module map, showing physical orientation of CCD modules on the substrate shown in </w:t>
      </w:r>
      <w:r w:rsidR="004C78B9">
        <w:fldChar w:fldCharType="begin"/>
      </w:r>
      <w:r w:rsidR="00C903B6">
        <w:instrText xml:space="preserve"> REF _Ref205786387 \h </w:instrText>
      </w:r>
      <w:r w:rsidR="004C78B9">
        <w:fldChar w:fldCharType="separate"/>
      </w:r>
      <w:r w:rsidR="000D2EB4">
        <w:t xml:space="preserve">Figure </w:t>
      </w:r>
      <w:r w:rsidR="000D2EB4">
        <w:rPr>
          <w:noProof/>
        </w:rPr>
        <w:t>22</w:t>
      </w:r>
      <w:r w:rsidR="004C78B9">
        <w:fldChar w:fldCharType="end"/>
      </w:r>
      <w:r w:rsidR="008576BF">
        <w:t xml:space="preserve">, and the 13 degree rotation </w:t>
      </w:r>
      <w:r>
        <w:t>between spacecraft and FPA coordinates. The angle drawn is not to scale</w:t>
      </w:r>
      <w:r w:rsidR="008576BF">
        <w:t>.  Black n</w:t>
      </w:r>
      <w:r>
        <w:t>umbers are module identifiers.  Purple letters indicate location of each of the 2 CCD chips (A and B) per science module.</w:t>
      </w:r>
      <w:bookmarkEnd w:id="120"/>
      <w:r>
        <w:t xml:space="preserve">  </w:t>
      </w:r>
    </w:p>
    <w:p w:rsidR="00404448" w:rsidRDefault="000518AB" w:rsidP="00404448">
      <w:pPr>
        <w:keepNext/>
      </w:pPr>
      <w:r>
        <w:rPr>
          <w:noProof/>
        </w:rPr>
        <w:drawing>
          <wp:inline distT="0" distB="0" distL="0" distR="0">
            <wp:extent cx="6102985" cy="5365750"/>
            <wp:effectExtent l="2540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7"/>
                    <a:srcRect/>
                    <a:stretch>
                      <a:fillRect/>
                    </a:stretch>
                  </pic:blipFill>
                  <pic:spPr bwMode="auto">
                    <a:xfrm>
                      <a:off x="0" y="0"/>
                      <a:ext cx="6102985" cy="5365750"/>
                    </a:xfrm>
                    <a:prstGeom prst="rect">
                      <a:avLst/>
                    </a:prstGeom>
                    <a:noFill/>
                    <a:ln w="9525">
                      <a:noFill/>
                      <a:miter lim="800000"/>
                      <a:headEnd/>
                      <a:tailEnd/>
                    </a:ln>
                  </pic:spPr>
                </pic:pic>
              </a:graphicData>
            </a:graphic>
          </wp:inline>
        </w:drawing>
      </w:r>
    </w:p>
    <w:p w:rsidR="00404448" w:rsidRPr="0033092E" w:rsidRDefault="00404448" w:rsidP="00404448">
      <w:pPr>
        <w:pStyle w:val="Caption"/>
      </w:pPr>
      <w:bookmarkStart w:id="121" w:name="_Ref205722006"/>
      <w:bookmarkStart w:id="122" w:name="_Toc322942254"/>
      <w:r>
        <w:t xml:space="preserve">Figure </w:t>
      </w:r>
      <w:fldSimple w:instr=" SEQ Figure \* ARABIC ">
        <w:r w:rsidR="000D2EB4">
          <w:rPr>
            <w:noProof/>
          </w:rPr>
          <w:t>24</w:t>
        </w:r>
      </w:fldSimple>
      <w:bookmarkEnd w:id="121"/>
      <w:r>
        <w:t>:  Focal plane layout, labeling modules and outputs (1-4), and the directions of rows and columns.  Note that the focal plane is symmetric under 90 degree rotations, with the exception of the central module, module 13.  Modules 1, 5, 21, and 25 are FGS modules.</w:t>
      </w:r>
      <w:bookmarkEnd w:id="122"/>
    </w:p>
    <w:p w:rsidR="00404448" w:rsidRPr="00394F88" w:rsidRDefault="00404448" w:rsidP="00404448">
      <w:pPr>
        <w:pStyle w:val="Heading2"/>
        <w:rPr>
          <w:sz w:val="22"/>
        </w:rPr>
      </w:pPr>
      <w:bookmarkStart w:id="123" w:name="_Ref205709453"/>
      <w:bookmarkStart w:id="124" w:name="_Ref205709468"/>
      <w:bookmarkStart w:id="125" w:name="_Toc322942175"/>
      <w:r w:rsidRPr="00394F88">
        <w:rPr>
          <w:sz w:val="22"/>
        </w:rPr>
        <w:t>CCD Performance Summary</w:t>
      </w:r>
      <w:bookmarkEnd w:id="125"/>
    </w:p>
    <w:p w:rsidR="00404448" w:rsidRDefault="00404448" w:rsidP="00404448">
      <w:r>
        <w:t xml:space="preserve">Top level performance specifications for the Science </w:t>
      </w:r>
      <w:r w:rsidR="000C7E92">
        <w:t xml:space="preserve">and FGS </w:t>
      </w:r>
      <w:r>
        <w:t xml:space="preserve">CCDs at their nominal operating temperature are shown in </w:t>
      </w:r>
      <w:r w:rsidR="004C78B9">
        <w:fldChar w:fldCharType="begin"/>
      </w:r>
      <w:r w:rsidR="00C903B6">
        <w:instrText xml:space="preserve"> REF _Ref205721594 \h </w:instrText>
      </w:r>
      <w:r w:rsidR="004C78B9">
        <w:fldChar w:fldCharType="separate"/>
      </w:r>
      <w:r w:rsidR="000D2EB4">
        <w:t xml:space="preserve">Table </w:t>
      </w:r>
      <w:r w:rsidR="000D2EB4">
        <w:rPr>
          <w:noProof/>
        </w:rPr>
        <w:t>7</w:t>
      </w:r>
      <w:r w:rsidR="004C78B9">
        <w:fldChar w:fldCharType="end"/>
      </w:r>
      <w:r>
        <w:t>.</w:t>
      </w:r>
    </w:p>
    <w:p w:rsidR="00404448" w:rsidRDefault="00404448" w:rsidP="00404448">
      <w:pPr>
        <w:pStyle w:val="Caption"/>
        <w:keepNext/>
        <w:jc w:val="center"/>
        <w:outlineLvl w:val="0"/>
      </w:pPr>
      <w:bookmarkStart w:id="126" w:name="_Ref205721594"/>
      <w:bookmarkStart w:id="127" w:name="_Toc322942286"/>
      <w:r>
        <w:t xml:space="preserve">Table </w:t>
      </w:r>
      <w:fldSimple w:instr=" SEQ Table \* ARABIC ">
        <w:r w:rsidR="000D2EB4">
          <w:rPr>
            <w:noProof/>
          </w:rPr>
          <w:t>7</w:t>
        </w:r>
      </w:fldSimple>
      <w:bookmarkEnd w:id="126"/>
      <w:r>
        <w:t xml:space="preserve">:  </w:t>
      </w:r>
      <w:r w:rsidR="004A3FBE" w:rsidRPr="004A3FBE">
        <w:rPr>
          <w:i/>
        </w:rPr>
        <w:t>Kepler</w:t>
      </w:r>
      <w:r>
        <w:t xml:space="preserve"> CCD Properties at Science Operating Temperature.</w:t>
      </w:r>
      <w:bookmarkEnd w:id="12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454"/>
        <w:gridCol w:w="3752"/>
        <w:gridCol w:w="3370"/>
      </w:tblGrid>
      <w:tr w:rsidR="00F1014A">
        <w:trPr>
          <w:tblHeader/>
          <w:jc w:val="center"/>
        </w:trPr>
        <w:tc>
          <w:tcPr>
            <w:tcW w:w="2454" w:type="dxa"/>
          </w:tcPr>
          <w:p w:rsidR="00F1014A" w:rsidRPr="008A39DA" w:rsidRDefault="00F1014A" w:rsidP="00404448">
            <w:pPr>
              <w:rPr>
                <w:b/>
                <w:bCs/>
              </w:rPr>
            </w:pPr>
            <w:r w:rsidRPr="008A39DA">
              <w:rPr>
                <w:b/>
                <w:bCs/>
              </w:rPr>
              <w:t>Parameter</w:t>
            </w:r>
          </w:p>
        </w:tc>
        <w:tc>
          <w:tcPr>
            <w:tcW w:w="3752" w:type="dxa"/>
          </w:tcPr>
          <w:p w:rsidR="00F1014A" w:rsidRPr="008A39DA" w:rsidRDefault="00F1014A" w:rsidP="00404448">
            <w:pPr>
              <w:rPr>
                <w:b/>
                <w:bCs/>
              </w:rPr>
            </w:pPr>
            <w:r>
              <w:rPr>
                <w:b/>
                <w:bCs/>
              </w:rPr>
              <w:t xml:space="preserve">Science </w:t>
            </w:r>
            <w:r w:rsidRPr="008A39DA">
              <w:rPr>
                <w:b/>
                <w:bCs/>
              </w:rPr>
              <w:t>Value</w:t>
            </w:r>
          </w:p>
        </w:tc>
        <w:tc>
          <w:tcPr>
            <w:tcW w:w="3370" w:type="dxa"/>
          </w:tcPr>
          <w:p w:rsidR="00F1014A" w:rsidRPr="008A39DA" w:rsidRDefault="00F1014A" w:rsidP="00404448">
            <w:pPr>
              <w:rPr>
                <w:b/>
                <w:bCs/>
              </w:rPr>
            </w:pPr>
            <w:r>
              <w:rPr>
                <w:b/>
                <w:bCs/>
              </w:rPr>
              <w:t>FGS Value</w:t>
            </w:r>
          </w:p>
        </w:tc>
      </w:tr>
      <w:tr w:rsidR="000E4037">
        <w:trPr>
          <w:jc w:val="center"/>
        </w:trPr>
        <w:tc>
          <w:tcPr>
            <w:tcW w:w="2454" w:type="dxa"/>
          </w:tcPr>
          <w:p w:rsidR="000E4037" w:rsidRDefault="000E4037" w:rsidP="00404448">
            <w:r>
              <w:t>Vendor/Model</w:t>
            </w:r>
          </w:p>
        </w:tc>
        <w:tc>
          <w:tcPr>
            <w:tcW w:w="3752" w:type="dxa"/>
          </w:tcPr>
          <w:p w:rsidR="000E4037" w:rsidRPr="000E4037" w:rsidRDefault="000E4037" w:rsidP="00404448">
            <w:r w:rsidRPr="000E4037">
              <w:t>e2v CCD90</w:t>
            </w:r>
          </w:p>
        </w:tc>
        <w:tc>
          <w:tcPr>
            <w:tcW w:w="3370" w:type="dxa"/>
          </w:tcPr>
          <w:p w:rsidR="000E4037" w:rsidRDefault="0026361E" w:rsidP="00404448">
            <w:r>
              <w:t>e</w:t>
            </w:r>
            <w:r w:rsidR="008642CA">
              <w:t>2v CCD57-10 AIMO</w:t>
            </w:r>
          </w:p>
        </w:tc>
      </w:tr>
      <w:tr w:rsidR="00F1014A">
        <w:trPr>
          <w:jc w:val="center"/>
        </w:trPr>
        <w:tc>
          <w:tcPr>
            <w:tcW w:w="2454" w:type="dxa"/>
          </w:tcPr>
          <w:p w:rsidR="00F1014A" w:rsidRPr="003C1D0D" w:rsidRDefault="00F1014A" w:rsidP="00404448">
            <w:r>
              <w:t>Well depth (e</w:t>
            </w:r>
            <w:r w:rsidRPr="008A39DA">
              <w:rPr>
                <w:vertAlign w:val="superscript"/>
              </w:rPr>
              <w:t>-</w:t>
            </w:r>
            <w:r>
              <w:t>)</w:t>
            </w:r>
          </w:p>
        </w:tc>
        <w:tc>
          <w:tcPr>
            <w:tcW w:w="3752" w:type="dxa"/>
          </w:tcPr>
          <w:p w:rsidR="00F1014A" w:rsidRPr="003C1D0D" w:rsidRDefault="00B210FD" w:rsidP="00404448">
            <w:r>
              <w:t>&gt;1.0</w:t>
            </w:r>
            <w:r w:rsidR="00F1014A">
              <w:t>x10</w:t>
            </w:r>
            <w:r w:rsidR="00F1014A" w:rsidRPr="008A39DA">
              <w:rPr>
                <w:vertAlign w:val="superscript"/>
              </w:rPr>
              <w:t>6</w:t>
            </w:r>
          </w:p>
        </w:tc>
        <w:tc>
          <w:tcPr>
            <w:tcW w:w="3370" w:type="dxa"/>
          </w:tcPr>
          <w:p w:rsidR="00F1014A" w:rsidRPr="00B210FD" w:rsidRDefault="00B210FD" w:rsidP="00404448">
            <w:pPr>
              <w:rPr>
                <w:vertAlign w:val="superscript"/>
              </w:rPr>
            </w:pPr>
            <w:r>
              <w:t>&gt;8.0x10</w:t>
            </w:r>
            <w:r>
              <w:rPr>
                <w:vertAlign w:val="superscript"/>
              </w:rPr>
              <w:t>4</w:t>
            </w:r>
          </w:p>
        </w:tc>
      </w:tr>
      <w:tr w:rsidR="00F1014A">
        <w:trPr>
          <w:jc w:val="center"/>
        </w:trPr>
        <w:tc>
          <w:tcPr>
            <w:tcW w:w="2454" w:type="dxa"/>
          </w:tcPr>
          <w:p w:rsidR="00F1014A" w:rsidRDefault="00F1014A" w:rsidP="00404448">
            <w:r>
              <w:t>Pixel size (µm)</w:t>
            </w:r>
          </w:p>
        </w:tc>
        <w:tc>
          <w:tcPr>
            <w:tcW w:w="3752" w:type="dxa"/>
          </w:tcPr>
          <w:p w:rsidR="00F1014A" w:rsidRDefault="00D35C15" w:rsidP="00404448">
            <w:r>
              <w:t>27 x 27</w:t>
            </w:r>
          </w:p>
        </w:tc>
        <w:tc>
          <w:tcPr>
            <w:tcW w:w="3370" w:type="dxa"/>
          </w:tcPr>
          <w:p w:rsidR="00F1014A" w:rsidRDefault="00F1014A" w:rsidP="00404448">
            <w:r>
              <w:t>13 x 13</w:t>
            </w:r>
          </w:p>
        </w:tc>
      </w:tr>
      <w:tr w:rsidR="00F1014A">
        <w:trPr>
          <w:jc w:val="center"/>
        </w:trPr>
        <w:tc>
          <w:tcPr>
            <w:tcW w:w="2454" w:type="dxa"/>
          </w:tcPr>
          <w:p w:rsidR="00F1014A" w:rsidRDefault="00F1014A" w:rsidP="00404448">
            <w:r>
              <w:t>Detector Array format</w:t>
            </w:r>
          </w:p>
        </w:tc>
        <w:tc>
          <w:tcPr>
            <w:tcW w:w="3752" w:type="dxa"/>
          </w:tcPr>
          <w:p w:rsidR="00F1014A" w:rsidRDefault="00F1014A" w:rsidP="00404448">
            <w:r>
              <w:t>21 CCD modules</w:t>
            </w:r>
          </w:p>
          <w:p w:rsidR="00F1014A" w:rsidRDefault="00F1014A" w:rsidP="00404448">
            <w:r>
              <w:t>2 CCDs/module</w:t>
            </w:r>
          </w:p>
          <w:p w:rsidR="00F1014A" w:rsidRDefault="00F1014A" w:rsidP="00404448">
            <w:r>
              <w:t>2 outputs/CCD</w:t>
            </w:r>
          </w:p>
          <w:p w:rsidR="002A433E" w:rsidRDefault="00D26B74" w:rsidP="00404448">
            <w:r>
              <w:t>1100 column x</w:t>
            </w:r>
            <w:r w:rsidR="002A433E">
              <w:t xml:space="preserve"> 1044 row real </w:t>
            </w:r>
            <w:r>
              <w:t>pixels</w:t>
            </w:r>
          </w:p>
          <w:p w:rsidR="00F1014A" w:rsidRDefault="002A433E" w:rsidP="00404448">
            <w:r>
              <w:t>1100 column x 1024 row photosensitive pixels</w:t>
            </w:r>
          </w:p>
        </w:tc>
        <w:tc>
          <w:tcPr>
            <w:tcW w:w="3370" w:type="dxa"/>
          </w:tcPr>
          <w:p w:rsidR="00CA3266" w:rsidRDefault="00F1014A" w:rsidP="00404448">
            <w:r>
              <w:t>4 FGS modules</w:t>
            </w:r>
          </w:p>
          <w:p w:rsidR="00CA3266" w:rsidRDefault="00CA3266" w:rsidP="00404448">
            <w:r>
              <w:t>1 CCD/module</w:t>
            </w:r>
          </w:p>
          <w:p w:rsidR="00CA3266" w:rsidRDefault="00CA3266" w:rsidP="00404448">
            <w:r>
              <w:t>1 output/CCD</w:t>
            </w:r>
          </w:p>
          <w:p w:rsidR="002A433E" w:rsidRDefault="002A433E" w:rsidP="00D26B74">
            <w:r>
              <w:t>536 column x 528 row real pixels</w:t>
            </w:r>
          </w:p>
          <w:p w:rsidR="00F1014A" w:rsidRDefault="002A433E" w:rsidP="002A433E">
            <w:r>
              <w:t>512 column x 512 row photosensitive pixels</w:t>
            </w:r>
          </w:p>
        </w:tc>
      </w:tr>
      <w:tr w:rsidR="00F1014A">
        <w:trPr>
          <w:jc w:val="center"/>
        </w:trPr>
        <w:tc>
          <w:tcPr>
            <w:tcW w:w="2454" w:type="dxa"/>
          </w:tcPr>
          <w:p w:rsidR="00F1014A" w:rsidRDefault="00F1014A" w:rsidP="00404448">
            <w:r>
              <w:t>Quantum efficiency at 600 nm</w:t>
            </w:r>
          </w:p>
        </w:tc>
        <w:tc>
          <w:tcPr>
            <w:tcW w:w="3752" w:type="dxa"/>
          </w:tcPr>
          <w:p w:rsidR="00F1014A" w:rsidRDefault="00F1014A" w:rsidP="00404448">
            <w:r>
              <w:t>&gt;0.80</w:t>
            </w:r>
          </w:p>
        </w:tc>
        <w:tc>
          <w:tcPr>
            <w:tcW w:w="3370" w:type="dxa"/>
          </w:tcPr>
          <w:p w:rsidR="00F1014A" w:rsidRDefault="00FD35FA" w:rsidP="00404448">
            <w:r>
              <w:t>&gt;0.80</w:t>
            </w:r>
          </w:p>
        </w:tc>
      </w:tr>
      <w:tr w:rsidR="00F1014A">
        <w:trPr>
          <w:jc w:val="center"/>
        </w:trPr>
        <w:tc>
          <w:tcPr>
            <w:tcW w:w="2454" w:type="dxa"/>
          </w:tcPr>
          <w:p w:rsidR="00F1014A" w:rsidRPr="003C1D0D" w:rsidRDefault="00F1014A" w:rsidP="00404448">
            <w:r>
              <w:t>Read noise (e</w:t>
            </w:r>
            <w:r w:rsidRPr="008A39DA">
              <w:rPr>
                <w:vertAlign w:val="superscript"/>
              </w:rPr>
              <w:t>-</w:t>
            </w:r>
            <w:r>
              <w:t xml:space="preserve"> RMS</w:t>
            </w:r>
            <w:r w:rsidR="007F437D">
              <w:t xml:space="preserve"> per frame</w:t>
            </w:r>
            <w:r>
              <w:t>)</w:t>
            </w:r>
          </w:p>
        </w:tc>
        <w:tc>
          <w:tcPr>
            <w:tcW w:w="3752" w:type="dxa"/>
          </w:tcPr>
          <w:p w:rsidR="00F1014A" w:rsidRDefault="007F437D" w:rsidP="00404448">
            <w:r>
              <w:t>&lt;120 e-</w:t>
            </w:r>
          </w:p>
        </w:tc>
        <w:tc>
          <w:tcPr>
            <w:tcW w:w="3370" w:type="dxa"/>
          </w:tcPr>
          <w:p w:rsidR="00F1014A" w:rsidRDefault="007F437D" w:rsidP="00404448">
            <w:r>
              <w:t>&lt;15 e-</w:t>
            </w:r>
          </w:p>
        </w:tc>
      </w:tr>
      <w:tr w:rsidR="00F1014A">
        <w:trPr>
          <w:jc w:val="center"/>
        </w:trPr>
        <w:tc>
          <w:tcPr>
            <w:tcW w:w="2454" w:type="dxa"/>
          </w:tcPr>
          <w:p w:rsidR="00F1014A" w:rsidRPr="003C1D0D" w:rsidRDefault="00F1014A" w:rsidP="00404448">
            <w:r>
              <w:t>Dark signal (e</w:t>
            </w:r>
            <w:r w:rsidRPr="008A39DA">
              <w:rPr>
                <w:vertAlign w:val="superscript"/>
              </w:rPr>
              <w:t>-</w:t>
            </w:r>
            <w:r>
              <w:t>/pixel/sec)</w:t>
            </w:r>
          </w:p>
        </w:tc>
        <w:tc>
          <w:tcPr>
            <w:tcW w:w="3752" w:type="dxa"/>
          </w:tcPr>
          <w:p w:rsidR="00F1014A" w:rsidRDefault="00F1014A" w:rsidP="00404448">
            <w:r>
              <w:t>&lt;1.0</w:t>
            </w:r>
          </w:p>
        </w:tc>
        <w:tc>
          <w:tcPr>
            <w:tcW w:w="3370" w:type="dxa"/>
          </w:tcPr>
          <w:p w:rsidR="00F1014A" w:rsidRDefault="009035A7" w:rsidP="00404448">
            <w:r>
              <w:t>&lt;1.0</w:t>
            </w:r>
          </w:p>
        </w:tc>
      </w:tr>
      <w:tr w:rsidR="00F1014A">
        <w:trPr>
          <w:jc w:val="center"/>
        </w:trPr>
        <w:tc>
          <w:tcPr>
            <w:tcW w:w="2454" w:type="dxa"/>
          </w:tcPr>
          <w:p w:rsidR="00F1014A" w:rsidRDefault="00F1014A" w:rsidP="00404448">
            <w:r>
              <w:t>CTE Serial/parallel</w:t>
            </w:r>
          </w:p>
        </w:tc>
        <w:tc>
          <w:tcPr>
            <w:tcW w:w="3752" w:type="dxa"/>
          </w:tcPr>
          <w:p w:rsidR="00F1014A" w:rsidRDefault="00F1014A" w:rsidP="00404448">
            <w:r>
              <w:t>0.99995 / 0.99993</w:t>
            </w:r>
          </w:p>
        </w:tc>
        <w:tc>
          <w:tcPr>
            <w:tcW w:w="3370" w:type="dxa"/>
          </w:tcPr>
          <w:p w:rsidR="00F1014A" w:rsidRDefault="009035A7" w:rsidP="00404448">
            <w:r>
              <w:t>--</w:t>
            </w:r>
          </w:p>
        </w:tc>
      </w:tr>
      <w:tr w:rsidR="00F1014A">
        <w:trPr>
          <w:jc w:val="center"/>
        </w:trPr>
        <w:tc>
          <w:tcPr>
            <w:tcW w:w="2454" w:type="dxa"/>
          </w:tcPr>
          <w:p w:rsidR="00F1014A" w:rsidRDefault="00F1014A" w:rsidP="00404448">
            <w:r>
              <w:t>RMS linearity</w:t>
            </w:r>
          </w:p>
        </w:tc>
        <w:tc>
          <w:tcPr>
            <w:tcW w:w="3752" w:type="dxa"/>
          </w:tcPr>
          <w:p w:rsidR="00F1014A" w:rsidRDefault="00F1014A" w:rsidP="00404448">
            <w:r>
              <w:t>&lt;5%</w:t>
            </w:r>
          </w:p>
        </w:tc>
        <w:tc>
          <w:tcPr>
            <w:tcW w:w="3370" w:type="dxa"/>
          </w:tcPr>
          <w:p w:rsidR="00F1014A" w:rsidRDefault="009035A7" w:rsidP="00404448">
            <w:r>
              <w:t>--</w:t>
            </w:r>
          </w:p>
        </w:tc>
      </w:tr>
    </w:tbl>
    <w:p w:rsidR="00404448" w:rsidRDefault="00404448" w:rsidP="00404448"/>
    <w:p w:rsidR="00404448" w:rsidRPr="00394F88" w:rsidRDefault="00404448" w:rsidP="00404448">
      <w:pPr>
        <w:pStyle w:val="Heading2"/>
        <w:rPr>
          <w:sz w:val="22"/>
        </w:rPr>
      </w:pPr>
      <w:bookmarkStart w:id="128" w:name="_Toc322942176"/>
      <w:r w:rsidRPr="00394F88">
        <w:rPr>
          <w:sz w:val="22"/>
        </w:rPr>
        <w:t>Pixel Numbering</w:t>
      </w:r>
      <w:bookmarkEnd w:id="123"/>
      <w:bookmarkEnd w:id="124"/>
      <w:bookmarkEnd w:id="128"/>
    </w:p>
    <w:p w:rsidR="00404448" w:rsidRDefault="00404448" w:rsidP="00404448">
      <w:pPr>
        <w:rPr>
          <w:rFonts w:cs="BFDGCB+TimesNewRoman"/>
          <w:color w:val="000000"/>
          <w:szCs w:val="23"/>
        </w:rPr>
      </w:pPr>
      <w:r>
        <w:rPr>
          <w:rFonts w:cs="BFDGCB+TimesNewRoman"/>
          <w:color w:val="000000"/>
          <w:szCs w:val="23"/>
        </w:rPr>
        <w:t xml:space="preserve">Each output of the CCD contains 1100 columns and 1044 rows of physical pixels.  Of the 1044 rows, 20 are masked.  To the physical pixels are added virtual overclock pixels, in which the clocks are run for a few pixel cycles before the first, or after the last, charge packet is read out.  There are 32 virtual columns and 26 virtual rows, giving an image of 1132 columns and 1070 rows for each channel.  </w:t>
      </w:r>
    </w:p>
    <w:p w:rsidR="00404448" w:rsidRPr="009C40F6" w:rsidRDefault="00404448" w:rsidP="00404448">
      <w:pPr>
        <w:rPr>
          <w:rFonts w:cs="BFDGCB+TimesNewRoman"/>
          <w:color w:val="000000"/>
          <w:szCs w:val="23"/>
        </w:rPr>
      </w:pPr>
      <w:r w:rsidRPr="009C40F6">
        <w:rPr>
          <w:rFonts w:cs="BFDGCB+TimesNewRoman"/>
          <w:color w:val="000000"/>
          <w:szCs w:val="23"/>
        </w:rPr>
        <w:t xml:space="preserve">Each pixel on the FPA is uniquely identified by the following four-element vector: </w:t>
      </w:r>
    </w:p>
    <w:p w:rsidR="00404448" w:rsidRPr="009C40F6" w:rsidRDefault="00404448" w:rsidP="00404448">
      <w:pPr>
        <w:rPr>
          <w:rFonts w:cs="BFDGCB+TimesNewRoman"/>
          <w:color w:val="000000"/>
          <w:szCs w:val="23"/>
        </w:rPr>
      </w:pPr>
      <w:r w:rsidRPr="009C40F6">
        <w:rPr>
          <w:rFonts w:cs="BFDGCB+TimesNewRoman"/>
          <w:color w:val="000000"/>
          <w:szCs w:val="23"/>
        </w:rPr>
        <w:t>Pixel number = {M, O, R, C}, where each element of the vector is defined in</w:t>
      </w:r>
      <w:r>
        <w:rPr>
          <w:rFonts w:cs="BFDGCB+TimesNewRoman"/>
          <w:color w:val="000000"/>
          <w:szCs w:val="23"/>
        </w:rPr>
        <w:t xml:space="preserve"> </w:t>
      </w:r>
      <w:r w:rsidR="004C78B9">
        <w:rPr>
          <w:rFonts w:cs="BFDGCB+TimesNewRoman"/>
          <w:color w:val="000000"/>
          <w:szCs w:val="23"/>
        </w:rPr>
        <w:fldChar w:fldCharType="begin"/>
      </w:r>
      <w:r>
        <w:rPr>
          <w:rFonts w:cs="BFDGCB+TimesNewRoman"/>
          <w:color w:val="000000"/>
          <w:szCs w:val="23"/>
        </w:rPr>
        <w:instrText xml:space="preserve"> REF _Ref106250729 \h </w:instrText>
      </w:r>
      <w:r w:rsidR="002559BD" w:rsidRPr="004C78B9">
        <w:rPr>
          <w:rFonts w:cs="BFDGCB+TimesNewRoman"/>
          <w:color w:val="000000"/>
          <w:szCs w:val="23"/>
        </w:rPr>
      </w:r>
      <w:r w:rsidR="004C78B9">
        <w:rPr>
          <w:rFonts w:cs="BFDGCB+TimesNewRoman"/>
          <w:color w:val="000000"/>
          <w:szCs w:val="23"/>
        </w:rPr>
        <w:fldChar w:fldCharType="separate"/>
      </w:r>
      <w:r w:rsidR="000D2EB4">
        <w:t xml:space="preserve">Table </w:t>
      </w:r>
      <w:r w:rsidR="000D2EB4">
        <w:rPr>
          <w:noProof/>
        </w:rPr>
        <w:t>8</w:t>
      </w:r>
      <w:r w:rsidR="004C78B9">
        <w:rPr>
          <w:rFonts w:cs="BFDGCB+TimesNewRoman"/>
          <w:color w:val="000000"/>
          <w:szCs w:val="23"/>
        </w:rPr>
        <w:fldChar w:fldCharType="end"/>
      </w:r>
      <w:r w:rsidRPr="009C40F6">
        <w:rPr>
          <w:rFonts w:cs="BFDGCB+TimesNewRoman"/>
          <w:color w:val="000000"/>
          <w:szCs w:val="23"/>
        </w:rPr>
        <w:t xml:space="preserve">. </w:t>
      </w:r>
    </w:p>
    <w:p w:rsidR="00404448" w:rsidRDefault="00404448" w:rsidP="00404448">
      <w:pPr>
        <w:pStyle w:val="Caption"/>
        <w:keepNext/>
        <w:outlineLvl w:val="0"/>
      </w:pPr>
      <w:bookmarkStart w:id="129" w:name="_Ref106250729"/>
      <w:bookmarkStart w:id="130" w:name="_Toc322942287"/>
      <w:r>
        <w:t xml:space="preserve">Table </w:t>
      </w:r>
      <w:fldSimple w:instr=" SEQ Table \* ARABIC ">
        <w:r w:rsidR="000D2EB4">
          <w:rPr>
            <w:noProof/>
          </w:rPr>
          <w:t>8</w:t>
        </w:r>
      </w:fldSimple>
      <w:bookmarkEnd w:id="129"/>
      <w:r>
        <w:t xml:space="preserve">:  Module Output Row Column indexing of each pixels in the </w:t>
      </w:r>
      <w:r w:rsidR="004A3FBE" w:rsidRPr="004A3FBE">
        <w:rPr>
          <w:i/>
        </w:rPr>
        <w:t>Kepler</w:t>
      </w:r>
      <w:r>
        <w:t xml:space="preserve"> focal plane.</w:t>
      </w:r>
      <w:bookmarkEnd w:id="130"/>
    </w:p>
    <w:tbl>
      <w:tblPr>
        <w:tblW w:w="0" w:type="auto"/>
        <w:tblInd w:w="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037"/>
        <w:gridCol w:w="2137"/>
        <w:gridCol w:w="3934"/>
      </w:tblGrid>
      <w:tr w:rsidR="00404448">
        <w:trPr>
          <w:trHeight w:val="594"/>
          <w:tblHeader/>
        </w:trPr>
        <w:tc>
          <w:tcPr>
            <w:tcW w:w="3037" w:type="dxa"/>
          </w:tcPr>
          <w:p w:rsidR="00404448" w:rsidRPr="0033092E" w:rsidRDefault="00404448" w:rsidP="00404448">
            <w:pPr>
              <w:rPr>
                <w:rFonts w:ascii="BFDGPC+Arial,Bold" w:hAnsi="BFDGPC+Arial,Bold" w:cs="BFDGPC+Arial,Bold"/>
                <w:color w:val="000000"/>
              </w:rPr>
            </w:pPr>
            <w:r w:rsidRPr="0033092E">
              <w:rPr>
                <w:rFonts w:ascii="BFDGPC+Arial,Bold" w:hAnsi="BFDGPC+Arial,Bold" w:cs="BFDGPC+Arial,Bold"/>
                <w:b/>
                <w:bCs/>
                <w:color w:val="000000"/>
              </w:rPr>
              <w:t>Index</w:t>
            </w:r>
          </w:p>
        </w:tc>
        <w:tc>
          <w:tcPr>
            <w:tcW w:w="2137" w:type="dxa"/>
          </w:tcPr>
          <w:p w:rsidR="00404448" w:rsidRDefault="00404448" w:rsidP="00404448">
            <w:pPr>
              <w:rPr>
                <w:rFonts w:ascii="BFDGFC+TimesNewRoman,Bold" w:hAnsi="BFDGFC+TimesNewRoman,Bold" w:cs="BFDGFC+TimesNewRoman,Bold"/>
                <w:color w:val="000000"/>
                <w:sz w:val="23"/>
                <w:szCs w:val="23"/>
              </w:rPr>
            </w:pPr>
            <w:r>
              <w:rPr>
                <w:rFonts w:ascii="BFDGFC+TimesNewRoman,Bold" w:hAnsi="BFDGFC+TimesNewRoman,Bold" w:cs="BFDGFC+TimesNewRoman,Bold"/>
                <w:b/>
                <w:bCs/>
                <w:color w:val="000000"/>
                <w:sz w:val="23"/>
                <w:szCs w:val="23"/>
              </w:rPr>
              <w:t xml:space="preserve">Description </w:t>
            </w:r>
          </w:p>
        </w:tc>
        <w:tc>
          <w:tcPr>
            <w:tcW w:w="3934" w:type="dxa"/>
          </w:tcPr>
          <w:p w:rsidR="00404448" w:rsidRDefault="00404448" w:rsidP="00404448">
            <w:pPr>
              <w:rPr>
                <w:rFonts w:ascii="BFDGFC+TimesNewRoman,Bold" w:hAnsi="BFDGFC+TimesNewRoman,Bold" w:cs="BFDGFC+TimesNewRoman,Bold"/>
                <w:color w:val="000000"/>
                <w:sz w:val="23"/>
                <w:szCs w:val="23"/>
              </w:rPr>
            </w:pPr>
            <w:r>
              <w:rPr>
                <w:rFonts w:ascii="BFDGFC+TimesNewRoman,Bold" w:hAnsi="BFDGFC+TimesNewRoman,Bold" w:cs="BFDGFC+TimesNewRoman,Bold"/>
                <w:b/>
                <w:bCs/>
                <w:color w:val="000000"/>
                <w:sz w:val="23"/>
                <w:szCs w:val="23"/>
              </w:rPr>
              <w:t>Science Module range</w:t>
            </w:r>
          </w:p>
          <w:p w:rsidR="00404448" w:rsidRDefault="00404448" w:rsidP="00404448">
            <w:pPr>
              <w:rPr>
                <w:rFonts w:ascii="BFDGFC+TimesNewRoman,Bold" w:hAnsi="BFDGFC+TimesNewRoman,Bold" w:cs="BFDGFC+TimesNewRoman,Bold"/>
                <w:color w:val="000000"/>
                <w:sz w:val="23"/>
                <w:szCs w:val="23"/>
              </w:rPr>
            </w:pPr>
            <w:r>
              <w:rPr>
                <w:rFonts w:ascii="BFDGFC+TimesNewRoman,Bold" w:hAnsi="BFDGFC+TimesNewRoman,Bold" w:cs="BFDGFC+TimesNewRoman,Bold"/>
                <w:b/>
                <w:bCs/>
                <w:color w:val="000000"/>
                <w:sz w:val="23"/>
                <w:szCs w:val="23"/>
              </w:rPr>
              <w:t xml:space="preserve">(integer) </w:t>
            </w:r>
          </w:p>
        </w:tc>
      </w:tr>
      <w:tr w:rsidR="00404448">
        <w:trPr>
          <w:trHeight w:val="315"/>
        </w:trPr>
        <w:tc>
          <w:tcPr>
            <w:tcW w:w="3037" w:type="dxa"/>
          </w:tcPr>
          <w:p w:rsidR="00404448" w:rsidRDefault="00404448">
            <w:pPr>
              <w:jc w:val="center"/>
              <w:rPr>
                <w:rFonts w:cs="BFDGCB+TimesNewRoman"/>
                <w:color w:val="000000"/>
                <w:sz w:val="23"/>
                <w:szCs w:val="23"/>
              </w:rPr>
            </w:pPr>
            <w:r>
              <w:rPr>
                <w:rFonts w:cs="BFDGCB+TimesNewRoman"/>
                <w:color w:val="000000"/>
                <w:sz w:val="23"/>
                <w:szCs w:val="23"/>
              </w:rPr>
              <w:t xml:space="preserve">M </w:t>
            </w:r>
          </w:p>
        </w:tc>
        <w:tc>
          <w:tcPr>
            <w:tcW w:w="2137" w:type="dxa"/>
          </w:tcPr>
          <w:p w:rsidR="00404448" w:rsidRDefault="00404448">
            <w:pPr>
              <w:rPr>
                <w:rFonts w:cs="BFDGCB+TimesNewRoman"/>
                <w:color w:val="000000"/>
                <w:sz w:val="23"/>
                <w:szCs w:val="23"/>
              </w:rPr>
            </w:pPr>
            <w:r>
              <w:rPr>
                <w:rFonts w:cs="BFDGCB+TimesNewRoman"/>
                <w:color w:val="000000"/>
                <w:sz w:val="23"/>
                <w:szCs w:val="23"/>
              </w:rPr>
              <w:t xml:space="preserve">Module number </w:t>
            </w:r>
          </w:p>
        </w:tc>
        <w:tc>
          <w:tcPr>
            <w:tcW w:w="3934" w:type="dxa"/>
          </w:tcPr>
          <w:p w:rsidR="00404448" w:rsidRDefault="00404448">
            <w:pPr>
              <w:jc w:val="center"/>
              <w:rPr>
                <w:rFonts w:cs="BFDGCB+TimesNewRoman"/>
                <w:color w:val="000000"/>
                <w:sz w:val="23"/>
                <w:szCs w:val="23"/>
              </w:rPr>
            </w:pPr>
            <w:r>
              <w:rPr>
                <w:rFonts w:cs="BFDGCB+TimesNewRoman"/>
                <w:color w:val="000000"/>
                <w:sz w:val="23"/>
                <w:szCs w:val="23"/>
              </w:rPr>
              <w:t xml:space="preserve">2 – 4, 6 – 20, 22 - 24 </w:t>
            </w:r>
          </w:p>
        </w:tc>
      </w:tr>
      <w:tr w:rsidR="00404448">
        <w:trPr>
          <w:trHeight w:val="315"/>
        </w:trPr>
        <w:tc>
          <w:tcPr>
            <w:tcW w:w="3037" w:type="dxa"/>
          </w:tcPr>
          <w:p w:rsidR="00404448" w:rsidRDefault="00404448">
            <w:pPr>
              <w:jc w:val="center"/>
              <w:rPr>
                <w:rFonts w:cs="BFDGCB+TimesNewRoman"/>
                <w:color w:val="000000"/>
                <w:sz w:val="23"/>
                <w:szCs w:val="23"/>
              </w:rPr>
            </w:pPr>
            <w:r>
              <w:rPr>
                <w:rFonts w:cs="BFDGCB+TimesNewRoman"/>
                <w:color w:val="000000"/>
                <w:sz w:val="23"/>
                <w:szCs w:val="23"/>
              </w:rPr>
              <w:t xml:space="preserve">O </w:t>
            </w:r>
          </w:p>
        </w:tc>
        <w:tc>
          <w:tcPr>
            <w:tcW w:w="2137" w:type="dxa"/>
          </w:tcPr>
          <w:p w:rsidR="00404448" w:rsidRDefault="00404448">
            <w:pPr>
              <w:rPr>
                <w:rFonts w:cs="BFDGCB+TimesNewRoman"/>
                <w:color w:val="000000"/>
                <w:sz w:val="23"/>
                <w:szCs w:val="23"/>
              </w:rPr>
            </w:pPr>
            <w:r>
              <w:rPr>
                <w:rFonts w:cs="BFDGCB+TimesNewRoman"/>
                <w:color w:val="000000"/>
                <w:sz w:val="23"/>
                <w:szCs w:val="23"/>
              </w:rPr>
              <w:t xml:space="preserve">Output number </w:t>
            </w:r>
          </w:p>
        </w:tc>
        <w:tc>
          <w:tcPr>
            <w:tcW w:w="3934" w:type="dxa"/>
          </w:tcPr>
          <w:p w:rsidR="00404448" w:rsidRDefault="00404448">
            <w:pPr>
              <w:jc w:val="center"/>
              <w:rPr>
                <w:rFonts w:cs="BFDGCB+TimesNewRoman"/>
                <w:color w:val="000000"/>
                <w:sz w:val="23"/>
                <w:szCs w:val="23"/>
              </w:rPr>
            </w:pPr>
            <w:r>
              <w:rPr>
                <w:rFonts w:cs="BFDGCB+TimesNewRoman"/>
                <w:color w:val="000000"/>
                <w:sz w:val="23"/>
                <w:szCs w:val="23"/>
              </w:rPr>
              <w:t xml:space="preserve">1 – 4 </w:t>
            </w:r>
          </w:p>
        </w:tc>
      </w:tr>
      <w:tr w:rsidR="00404448">
        <w:trPr>
          <w:trHeight w:val="315"/>
        </w:trPr>
        <w:tc>
          <w:tcPr>
            <w:tcW w:w="3037" w:type="dxa"/>
          </w:tcPr>
          <w:p w:rsidR="00404448" w:rsidRDefault="00404448">
            <w:pPr>
              <w:jc w:val="center"/>
              <w:rPr>
                <w:rFonts w:cs="BFDGCB+TimesNewRoman"/>
                <w:color w:val="000000"/>
                <w:sz w:val="23"/>
                <w:szCs w:val="23"/>
              </w:rPr>
            </w:pPr>
            <w:r>
              <w:rPr>
                <w:rFonts w:cs="BFDGCB+TimesNewRoman"/>
                <w:color w:val="000000"/>
                <w:sz w:val="23"/>
                <w:szCs w:val="23"/>
              </w:rPr>
              <w:t xml:space="preserve">R </w:t>
            </w:r>
          </w:p>
        </w:tc>
        <w:tc>
          <w:tcPr>
            <w:tcW w:w="2137" w:type="dxa"/>
          </w:tcPr>
          <w:p w:rsidR="00404448" w:rsidRDefault="00404448">
            <w:pPr>
              <w:rPr>
                <w:rFonts w:cs="BFDGCB+TimesNewRoman"/>
                <w:color w:val="000000"/>
                <w:sz w:val="23"/>
                <w:szCs w:val="23"/>
              </w:rPr>
            </w:pPr>
            <w:r>
              <w:rPr>
                <w:rFonts w:cs="BFDGCB+TimesNewRoman"/>
                <w:color w:val="000000"/>
                <w:sz w:val="23"/>
                <w:szCs w:val="23"/>
              </w:rPr>
              <w:t xml:space="preserve">CCD Row number </w:t>
            </w:r>
          </w:p>
        </w:tc>
        <w:tc>
          <w:tcPr>
            <w:tcW w:w="3934" w:type="dxa"/>
          </w:tcPr>
          <w:p w:rsidR="00404448" w:rsidRDefault="00404448">
            <w:pPr>
              <w:jc w:val="center"/>
              <w:rPr>
                <w:rFonts w:cs="BFDGCB+TimesNewRoman"/>
                <w:color w:val="000000"/>
                <w:sz w:val="23"/>
                <w:szCs w:val="23"/>
              </w:rPr>
            </w:pPr>
            <w:r>
              <w:rPr>
                <w:rFonts w:cs="BFDGCB+TimesNewRoman"/>
                <w:color w:val="000000"/>
                <w:sz w:val="23"/>
                <w:szCs w:val="23"/>
              </w:rPr>
              <w:t xml:space="preserve">0 – 1069 </w:t>
            </w:r>
          </w:p>
        </w:tc>
      </w:tr>
      <w:tr w:rsidR="00404448">
        <w:trPr>
          <w:trHeight w:val="315"/>
        </w:trPr>
        <w:tc>
          <w:tcPr>
            <w:tcW w:w="3037" w:type="dxa"/>
          </w:tcPr>
          <w:p w:rsidR="00404448" w:rsidRDefault="00404448">
            <w:pPr>
              <w:jc w:val="center"/>
              <w:rPr>
                <w:rFonts w:cs="BFDGCB+TimesNewRoman"/>
                <w:color w:val="000000"/>
                <w:sz w:val="23"/>
                <w:szCs w:val="23"/>
              </w:rPr>
            </w:pPr>
            <w:r>
              <w:rPr>
                <w:rFonts w:cs="BFDGCB+TimesNewRoman"/>
                <w:color w:val="000000"/>
                <w:sz w:val="23"/>
                <w:szCs w:val="23"/>
              </w:rPr>
              <w:t>C</w:t>
            </w:r>
          </w:p>
        </w:tc>
        <w:tc>
          <w:tcPr>
            <w:tcW w:w="2137" w:type="dxa"/>
          </w:tcPr>
          <w:p w:rsidR="00404448" w:rsidRDefault="00404448">
            <w:pPr>
              <w:rPr>
                <w:rFonts w:cs="BFDGCB+TimesNewRoman"/>
                <w:color w:val="000000"/>
                <w:sz w:val="23"/>
                <w:szCs w:val="23"/>
              </w:rPr>
            </w:pPr>
            <w:r>
              <w:rPr>
                <w:rFonts w:cs="BFDGCB+TimesNewRoman"/>
                <w:color w:val="000000"/>
                <w:sz w:val="23"/>
                <w:szCs w:val="23"/>
              </w:rPr>
              <w:t>CCD Column</w:t>
            </w:r>
          </w:p>
        </w:tc>
        <w:tc>
          <w:tcPr>
            <w:tcW w:w="3934" w:type="dxa"/>
          </w:tcPr>
          <w:p w:rsidR="00404448" w:rsidRDefault="00404448">
            <w:pPr>
              <w:jc w:val="center"/>
              <w:rPr>
                <w:rFonts w:cs="BFDGCB+TimesNewRoman"/>
                <w:color w:val="000000"/>
                <w:sz w:val="23"/>
                <w:szCs w:val="23"/>
              </w:rPr>
            </w:pPr>
            <w:r>
              <w:rPr>
                <w:rFonts w:cs="BFDGCB+TimesNewRoman"/>
                <w:color w:val="000000"/>
                <w:sz w:val="23"/>
                <w:szCs w:val="23"/>
              </w:rPr>
              <w:t>0 -- 1131</w:t>
            </w:r>
          </w:p>
        </w:tc>
      </w:tr>
    </w:tbl>
    <w:p w:rsidR="00404448" w:rsidRDefault="00404448" w:rsidP="00404448">
      <w:r>
        <w:t>Note that image rows and columns include virtual and masked pixel areas, as well as the photosensitive pixel area of the array.</w:t>
      </w:r>
    </w:p>
    <w:p w:rsidR="00404448" w:rsidRPr="0033092E" w:rsidRDefault="00404448" w:rsidP="00404448">
      <w:r>
        <w:t xml:space="preserve">Following the convention, ordered pairs of pixel co-ordinates are given as (row, column) in this document, though IDL users will be more familiar with (column, row) indexing.  The combination of module and output is referred to as a “channel” or “mod.out.”  Channels may be labeled in two ways, by their module and output, or by a channel number between 1 and 84, depending on the document or software application.  For example, module 13, output 2 would be referred to as mod.out 13.2, channel 13.2, or channel 42.  The channel number increments first by output, then by module (2.1, 2.2, 2.3, …24.3, 24.4), and is shown for convenience in </w:t>
      </w:r>
      <w:r w:rsidR="004C78B9">
        <w:fldChar w:fldCharType="begin"/>
      </w:r>
      <w:r w:rsidR="00C903B6">
        <w:instrText xml:space="preserve"> REF _Ref108511873 \h </w:instrText>
      </w:r>
      <w:r w:rsidR="004C78B9">
        <w:fldChar w:fldCharType="separate"/>
      </w:r>
      <w:r w:rsidR="000D2EB4">
        <w:t xml:space="preserve">Table </w:t>
      </w:r>
      <w:r w:rsidR="000D2EB4">
        <w:rPr>
          <w:noProof/>
        </w:rPr>
        <w:t>13</w:t>
      </w:r>
      <w:r w:rsidR="004C78B9">
        <w:fldChar w:fldCharType="end"/>
      </w:r>
      <w:r>
        <w:t xml:space="preserve">. </w:t>
      </w:r>
    </w:p>
    <w:p w:rsidR="00404448" w:rsidRPr="00394F88" w:rsidRDefault="00404448" w:rsidP="00404448">
      <w:pPr>
        <w:pStyle w:val="Heading2"/>
        <w:rPr>
          <w:sz w:val="22"/>
        </w:rPr>
      </w:pPr>
      <w:bookmarkStart w:id="131" w:name="_Ref201488295"/>
      <w:bookmarkStart w:id="132" w:name="_Ref201503297"/>
      <w:bookmarkStart w:id="133" w:name="_Ref201504002"/>
      <w:bookmarkStart w:id="134" w:name="_Toc322942177"/>
      <w:r w:rsidRPr="00394F88">
        <w:rPr>
          <w:sz w:val="22"/>
        </w:rPr>
        <w:t>Signal Content</w:t>
      </w:r>
      <w:bookmarkEnd w:id="131"/>
      <w:bookmarkEnd w:id="132"/>
      <w:bookmarkEnd w:id="133"/>
      <w:bookmarkEnd w:id="134"/>
    </w:p>
    <w:p w:rsidR="00404448" w:rsidRDefault="00404448" w:rsidP="00404448">
      <w:r>
        <w:t>Each of the 84 output channels produces an 1132x1070 image with the following physical and readout attributes.  The notation is [start row:  end row, start column: end column]:</w:t>
      </w:r>
    </w:p>
    <w:p w:rsidR="00404448" w:rsidRDefault="00404448" w:rsidP="00404448">
      <w:pPr>
        <w:numPr>
          <w:ilvl w:val="0"/>
          <w:numId w:val="35"/>
        </w:numPr>
      </w:pPr>
      <w:r>
        <w:t xml:space="preserve">[0:19, 12:1111] are masked physical pixels, used to measure dark current.  The collateral data are calculated from a subset of these pixels.  The definition of the subset that is actually used </w:t>
      </w:r>
      <w:r w:rsidR="00422BDF">
        <w:t xml:space="preserve">for the </w:t>
      </w:r>
      <w:r>
        <w:t>on-board calculation is [6:17, 12:1111].</w:t>
      </w:r>
    </w:p>
    <w:p w:rsidR="00404448" w:rsidRDefault="00404448" w:rsidP="00404448">
      <w:pPr>
        <w:numPr>
          <w:ilvl w:val="0"/>
          <w:numId w:val="35"/>
        </w:numPr>
      </w:pPr>
      <w:r>
        <w:t>[20:1043, 12:1111] are photosensitive pixels (i.e., the science FOV).</w:t>
      </w:r>
    </w:p>
    <w:p w:rsidR="00404448" w:rsidRDefault="00404448" w:rsidP="00404448">
      <w:pPr>
        <w:numPr>
          <w:ilvl w:val="0"/>
          <w:numId w:val="35"/>
        </w:numPr>
      </w:pPr>
      <w:r>
        <w:t xml:space="preserve">[1044:1069, 12:1111] are the parallel over scan rows, used to measure smear content.  The collateral data are calculated from a subset of these pixels.  The definition of the subset that is actually used </w:t>
      </w:r>
      <w:r w:rsidR="00422BDF">
        <w:t xml:space="preserve">for the </w:t>
      </w:r>
      <w:r>
        <w:t>on-board calculation is [1046:1057, 12:1111].</w:t>
      </w:r>
    </w:p>
    <w:p w:rsidR="00404448" w:rsidRDefault="00404448" w:rsidP="00404448">
      <w:pPr>
        <w:numPr>
          <w:ilvl w:val="0"/>
          <w:numId w:val="35"/>
        </w:numPr>
      </w:pPr>
      <w:r>
        <w:t>[0:1069, 0:11] are leading serial register elements.  Because these columns are subject to an instrument artifact called “start-of-line ringing” (</w:t>
      </w:r>
      <w:r w:rsidR="00E607E6">
        <w:t>§</w:t>
      </w:r>
      <w:r w:rsidR="004C78B9">
        <w:fldChar w:fldCharType="begin"/>
      </w:r>
      <w:r w:rsidR="00C903B6">
        <w:instrText xml:space="preserve"> REF _Ref201546727 \r \h </w:instrText>
      </w:r>
      <w:r w:rsidR="004C78B9">
        <w:fldChar w:fldCharType="separate"/>
      </w:r>
      <w:r w:rsidR="000D2EB4">
        <w:t>6.4</w:t>
      </w:r>
      <w:r w:rsidR="004C78B9">
        <w:fldChar w:fldCharType="end"/>
      </w:r>
      <w:r>
        <w:t>), these pixels are not useful for calibration, though their original intent was to determine black level.</w:t>
      </w:r>
    </w:p>
    <w:p w:rsidR="00404448" w:rsidRDefault="00404448" w:rsidP="00404448">
      <w:pPr>
        <w:numPr>
          <w:ilvl w:val="0"/>
          <w:numId w:val="35"/>
        </w:numPr>
      </w:pPr>
      <w:r>
        <w:t xml:space="preserve">[0:1069, 1112:1131] are trailing serial register </w:t>
      </w:r>
      <w:r w:rsidR="002F02AC">
        <w:t xml:space="preserve">over scan </w:t>
      </w:r>
      <w:r>
        <w:t>elements</w:t>
      </w:r>
      <w:r w:rsidR="002F02AC">
        <w:t>,</w:t>
      </w:r>
      <w:r>
        <w:t xml:space="preserve"> used to determine “black” reference level and undershoot amplitude (</w:t>
      </w:r>
      <w:r w:rsidR="00E607E6">
        <w:t>§</w:t>
      </w:r>
      <w:r w:rsidR="004C78B9">
        <w:fldChar w:fldCharType="begin"/>
      </w:r>
      <w:r w:rsidR="00C903B6">
        <w:instrText xml:space="preserve"> REF _Ref202070180 \r \h </w:instrText>
      </w:r>
      <w:r w:rsidR="004C78B9">
        <w:fldChar w:fldCharType="separate"/>
      </w:r>
      <w:r w:rsidR="000D2EB4">
        <w:t>6.5.2</w:t>
      </w:r>
      <w:r w:rsidR="004C78B9">
        <w:fldChar w:fldCharType="end"/>
      </w:r>
      <w:r>
        <w:t>).  The colla</w:t>
      </w:r>
      <w:r w:rsidR="00175DB8">
        <w:t xml:space="preserve">teral data are calculated from </w:t>
      </w:r>
      <w:r>
        <w:t xml:space="preserve">a subset of these pixels. The definition of this subset </w:t>
      </w:r>
      <w:r w:rsidR="002F02AC">
        <w:t>used through</w:t>
      </w:r>
      <w:r w:rsidR="00422BDF">
        <w:t xml:space="preserve">out the mission </w:t>
      </w:r>
      <w:r>
        <w:t>is  [0:1069, 1118:1131].</w:t>
      </w:r>
    </w:p>
    <w:p w:rsidR="00404448" w:rsidRDefault="00404448" w:rsidP="00404448">
      <w:pPr>
        <w:numPr>
          <w:ilvl w:val="0"/>
          <w:numId w:val="35"/>
        </w:numPr>
      </w:pPr>
      <w:r>
        <w:t>[1059:1062, 12:1111] are charge injection (CI) rows.   Charge is injected into 4 virtual ro</w:t>
      </w:r>
      <w:r w:rsidR="00214782">
        <w:t xml:space="preserve">ws by dumping a fixed </w:t>
      </w:r>
      <w:r>
        <w:t xml:space="preserve">amount of charge </w:t>
      </w:r>
      <w:r w:rsidR="00CF115E">
        <w:t>(roughly 40%</w:t>
      </w:r>
      <w:r w:rsidR="00214782">
        <w:t xml:space="preserve"> full-well) </w:t>
      </w:r>
      <w:r>
        <w:t>into the last row of pixels, for 4 parallel transfer periods.  Charge Injection is always on, except in test measurements.  It is used to monitor undershoot and gain, and to clean out radiation traps in the active area of the CCD.</w:t>
      </w:r>
    </w:p>
    <w:p w:rsidR="00404448" w:rsidRDefault="00404448" w:rsidP="00404448">
      <w:r>
        <w:t>Pixel 0, 0 is at the output tap of the channel.</w:t>
      </w:r>
    </w:p>
    <w:p w:rsidR="00404448" w:rsidRDefault="00404448" w:rsidP="00404448">
      <w:r>
        <w:t>These pixels are sent to the SDA for coadding.  For an FFI, all the pixels in the SDA are then sent to the SSR.  For LC and SC data, only the pixels of interest are sent from the SDA to the SSR.</w:t>
      </w:r>
    </w:p>
    <w:p w:rsidR="00404448" w:rsidRDefault="000518AB" w:rsidP="00404448">
      <w:pPr>
        <w:keepNext/>
      </w:pPr>
      <w:r>
        <w:rPr>
          <w:noProof/>
        </w:rPr>
        <w:drawing>
          <wp:inline distT="0" distB="0" distL="0" distR="0">
            <wp:extent cx="5939790" cy="4394835"/>
            <wp:effectExtent l="25400" t="0" r="381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8"/>
                    <a:srcRect/>
                    <a:stretch>
                      <a:fillRect/>
                    </a:stretch>
                  </pic:blipFill>
                  <pic:spPr bwMode="auto">
                    <a:xfrm>
                      <a:off x="0" y="0"/>
                      <a:ext cx="5939790" cy="4394835"/>
                    </a:xfrm>
                    <a:prstGeom prst="rect">
                      <a:avLst/>
                    </a:prstGeom>
                    <a:noFill/>
                    <a:ln w="9525">
                      <a:noFill/>
                      <a:miter lim="800000"/>
                      <a:headEnd/>
                      <a:tailEnd/>
                    </a:ln>
                  </pic:spPr>
                </pic:pic>
              </a:graphicData>
            </a:graphic>
          </wp:inline>
        </w:drawing>
      </w:r>
    </w:p>
    <w:p w:rsidR="00404448" w:rsidRPr="00402905" w:rsidRDefault="00404448" w:rsidP="00404448">
      <w:pPr>
        <w:pStyle w:val="Caption"/>
      </w:pPr>
      <w:bookmarkStart w:id="135" w:name="_Ref106249209"/>
      <w:bookmarkStart w:id="136" w:name="_Toc322942255"/>
      <w:r>
        <w:t xml:space="preserve">Figure </w:t>
      </w:r>
      <w:fldSimple w:instr=" SEQ Figure \* ARABIC ">
        <w:r w:rsidR="000D2EB4">
          <w:rPr>
            <w:noProof/>
          </w:rPr>
          <w:t>25</w:t>
        </w:r>
      </w:fldSimple>
      <w:bookmarkEnd w:id="135"/>
      <w:r>
        <w:t>:  Signal Content Map for a single Channel.  The output amplifier is in the lower left corner.  Serial clocking moves pixels from right to left and Parallel clocking moves pixels down.</w:t>
      </w:r>
      <w:bookmarkEnd w:id="136"/>
    </w:p>
    <w:p w:rsidR="00404448" w:rsidRPr="00394F88" w:rsidRDefault="00404448" w:rsidP="00404448">
      <w:pPr>
        <w:pStyle w:val="Heading2"/>
        <w:rPr>
          <w:sz w:val="22"/>
        </w:rPr>
      </w:pPr>
      <w:bookmarkStart w:id="137" w:name="_Toc202082622"/>
      <w:bookmarkStart w:id="138" w:name="_Toc202082623"/>
      <w:bookmarkStart w:id="139" w:name="_Toc202082624"/>
      <w:bookmarkStart w:id="140" w:name="_Toc202082626"/>
      <w:bookmarkStart w:id="141" w:name="_Toc202082627"/>
      <w:bookmarkStart w:id="142" w:name="_Toc322942178"/>
      <w:bookmarkEnd w:id="137"/>
      <w:bookmarkEnd w:id="138"/>
      <w:bookmarkEnd w:id="139"/>
      <w:bookmarkEnd w:id="140"/>
      <w:bookmarkEnd w:id="141"/>
      <w:r w:rsidRPr="00394F88">
        <w:rPr>
          <w:sz w:val="22"/>
        </w:rPr>
        <w:t>Black Level</w:t>
      </w:r>
      <w:bookmarkEnd w:id="142"/>
    </w:p>
    <w:p w:rsidR="00404448" w:rsidRPr="009702D9" w:rsidRDefault="00404448" w:rsidP="00404448">
      <w:r>
        <w:t>The black level, sometimes called “bias” in CCDs, was chosen by design to be 5% of the 14-bit A/D range, or 820 DN/frame, to guarantee that no signals would be clipped to zero, while requiring reasonable tolerances on the components of the amplifier chain.  Actual black levels, as measured by the robust mean of trailing serial register pixels, range from 640 to 751 DN over the 84 output channels.  The lowest of these still assures that valid pixel values are &gt; 500 DN per frame.</w:t>
      </w:r>
    </w:p>
    <w:p w:rsidR="00404448" w:rsidRPr="00394F88" w:rsidRDefault="00404448" w:rsidP="00404448">
      <w:pPr>
        <w:pStyle w:val="Heading2"/>
        <w:rPr>
          <w:sz w:val="22"/>
        </w:rPr>
      </w:pPr>
      <w:bookmarkStart w:id="143" w:name="_Toc322942179"/>
      <w:r w:rsidRPr="00394F88">
        <w:rPr>
          <w:sz w:val="22"/>
        </w:rPr>
        <w:t>Read Noise</w:t>
      </w:r>
      <w:bookmarkEnd w:id="143"/>
    </w:p>
    <w:p w:rsidR="00404448" w:rsidRPr="00CA7DD8" w:rsidRDefault="00404448" w:rsidP="00404448">
      <w:r>
        <w:t xml:space="preserve">Read noise </w:t>
      </w:r>
      <w:r w:rsidR="003C7150">
        <w:t>varies among channels between 74 e- and 150</w:t>
      </w:r>
      <w:r w:rsidR="003B0CE9">
        <w:t xml:space="preserve"> e-, with a median of 86</w:t>
      </w:r>
      <w:r>
        <w:t xml:space="preserve"> e-</w:t>
      </w:r>
      <w:r w:rsidR="00695118">
        <w:t>.  Approximately 7</w:t>
      </w:r>
      <w:r w:rsidRPr="00685F0C">
        <w:t xml:space="preserve">% of the FOV is compromised by </w:t>
      </w:r>
      <w:r w:rsidR="00695118" w:rsidRPr="00695118">
        <w:t>six channels that violate the 120e- read noise budget, as h</w:t>
      </w:r>
      <w:r w:rsidR="00FF07DC">
        <w:t>ighlighted in yellow in</w:t>
      </w:r>
      <w:r w:rsidR="00695118">
        <w:t xml:space="preserve"> </w:t>
      </w:r>
      <w:r w:rsidR="004C78B9">
        <w:fldChar w:fldCharType="begin"/>
      </w:r>
      <w:r w:rsidR="00FF07DC">
        <w:instrText xml:space="preserve"> REF _Ref108511873 \h </w:instrText>
      </w:r>
      <w:r w:rsidR="004C78B9">
        <w:fldChar w:fldCharType="separate"/>
      </w:r>
      <w:r w:rsidR="000D2EB4">
        <w:t xml:space="preserve">Table </w:t>
      </w:r>
      <w:r w:rsidR="000D2EB4">
        <w:rPr>
          <w:noProof/>
        </w:rPr>
        <w:t>13</w:t>
      </w:r>
      <w:r w:rsidR="004C78B9">
        <w:fldChar w:fldCharType="end"/>
      </w:r>
      <w:r w:rsidR="00695118">
        <w:t xml:space="preserve">. </w:t>
      </w:r>
      <w:r>
        <w:t xml:space="preserve">For channel-by-channel values, see </w:t>
      </w:r>
      <w:r w:rsidR="00E607E6">
        <w:t>§</w:t>
      </w:r>
      <w:r w:rsidR="004C78B9">
        <w:fldChar w:fldCharType="begin"/>
      </w:r>
      <w:r w:rsidR="00C903B6">
        <w:instrText xml:space="preserve"> REF _Ref202070784 \r \h </w:instrText>
      </w:r>
      <w:r w:rsidR="004C78B9">
        <w:fldChar w:fldCharType="separate"/>
      </w:r>
      <w:r w:rsidR="000D2EB4">
        <w:t>7.7</w:t>
      </w:r>
      <w:r w:rsidR="004C78B9">
        <w:fldChar w:fldCharType="end"/>
      </w:r>
      <w:r>
        <w:t>.</w:t>
      </w:r>
    </w:p>
    <w:p w:rsidR="00404448" w:rsidRPr="00394F88" w:rsidRDefault="00404448" w:rsidP="00404448">
      <w:pPr>
        <w:pStyle w:val="Heading2"/>
        <w:rPr>
          <w:sz w:val="22"/>
        </w:rPr>
      </w:pPr>
      <w:bookmarkStart w:id="144" w:name="_Toc322942180"/>
      <w:r w:rsidRPr="00394F88">
        <w:rPr>
          <w:sz w:val="22"/>
        </w:rPr>
        <w:t>Dark Current</w:t>
      </w:r>
      <w:bookmarkEnd w:id="144"/>
    </w:p>
    <w:p w:rsidR="00404448" w:rsidRPr="00CA7DD8" w:rsidRDefault="00404448" w:rsidP="00404448">
      <w:r>
        <w:t>Dark current is a negligible component of the image in both amplitude and noise, compared to the zodiacal light.  It is so low at the cold CCD operating temperature of -85</w:t>
      </w:r>
      <w:r>
        <w:rPr>
          <w:vertAlign w:val="superscript"/>
        </w:rPr>
        <w:t>o</w:t>
      </w:r>
      <w:r>
        <w:t xml:space="preserve"> C that only an upper bound of 0.2 DN/frame ~2 e-/s can be inferred from measurements.  A dark current of 100 e-/s increases the dark noise by less than 1%, compared to read noise, for integration times &lt; 10 s.  The exception is hot pixels, with anomalously high dark current.  Hot pixels </w:t>
      </w:r>
      <w:r w:rsidR="00382C6B">
        <w:t xml:space="preserve">were </w:t>
      </w:r>
      <w:r>
        <w:t>detected in dark images</w:t>
      </w:r>
      <w:r w:rsidR="00382C6B">
        <w:t xml:space="preserve"> prior to launch</w:t>
      </w:r>
      <w:r>
        <w:t xml:space="preserve"> (after removal of large-scale structure and FGS crosstalk, </w:t>
      </w:r>
      <w:r w:rsidR="00E607E6">
        <w:t>§</w:t>
      </w:r>
      <w:r w:rsidR="004C78B9">
        <w:fldChar w:fldCharType="begin"/>
      </w:r>
      <w:r w:rsidR="00C903B6">
        <w:instrText xml:space="preserve"> REF _Ref208742817 \r \h </w:instrText>
      </w:r>
      <w:r w:rsidR="004C78B9">
        <w:fldChar w:fldCharType="separate"/>
      </w:r>
      <w:r w:rsidR="000D2EB4">
        <w:t>6.1</w:t>
      </w:r>
      <w:r w:rsidR="004C78B9">
        <w:fldChar w:fldCharType="end"/>
      </w:r>
      <w:r>
        <w:t>) with a robust 5σ threshold above the mean bias level.  Hot pixels co</w:t>
      </w:r>
      <w:r w:rsidR="000F582E">
        <w:t>mprise &lt;0.1</w:t>
      </w:r>
      <w:r w:rsidR="0065157A">
        <w:t>% of the focal plane.</w:t>
      </w:r>
    </w:p>
    <w:p w:rsidR="00404448" w:rsidRPr="00394F88" w:rsidRDefault="00404448" w:rsidP="00404448">
      <w:pPr>
        <w:pStyle w:val="Heading2"/>
        <w:rPr>
          <w:sz w:val="22"/>
        </w:rPr>
      </w:pPr>
      <w:bookmarkStart w:id="145" w:name="_Ref109039498"/>
      <w:bookmarkStart w:id="146" w:name="_Ref202095775"/>
      <w:bookmarkStart w:id="147" w:name="_Toc322942181"/>
      <w:r w:rsidRPr="00394F88">
        <w:rPr>
          <w:sz w:val="22"/>
        </w:rPr>
        <w:t>Gain</w:t>
      </w:r>
      <w:bookmarkEnd w:id="145"/>
      <w:bookmarkEnd w:id="147"/>
    </w:p>
    <w:p w:rsidR="00404448" w:rsidRDefault="00404448" w:rsidP="00404448">
      <w:r>
        <w:t>The gain w</w:t>
      </w:r>
      <w:r w:rsidR="00284662">
        <w:t xml:space="preserve">as set to 95% of the A/D range </w:t>
      </w:r>
      <w:r>
        <w:t xml:space="preserve">to guarantee that no signals would be clipped to zero, while requiring reasonable tolerances on the components of the amplifier chain.  </w:t>
      </w:r>
      <w:r w:rsidRPr="00662657">
        <w:t xml:space="preserve">The </w:t>
      </w:r>
      <w:r>
        <w:t xml:space="preserve">as-built </w:t>
      </w:r>
      <w:r w:rsidRPr="00662657">
        <w:t>system gain of all 84 Science and 4 FGS channels was determined through the photon transfer measurement technique using a series of flat fields at varying exposure times.  The inverse gain in e-/</w:t>
      </w:r>
      <w:r>
        <w:t>DN is derived from the observed signal and</w:t>
      </w:r>
      <w:r w:rsidRPr="00662657">
        <w:t xml:space="preserve"> shot noise measured from an image difference (σ</w:t>
      </w:r>
      <w:r w:rsidRPr="00662657">
        <w:rPr>
          <w:vertAlign w:val="subscript"/>
        </w:rPr>
        <w:t>shot</w:t>
      </w:r>
      <w:r w:rsidRPr="00EA2A09">
        <w:rPr>
          <w:vertAlign w:val="superscript"/>
        </w:rPr>
        <w:t>2</w:t>
      </w:r>
      <w:r>
        <w:t>/2).  The inverse gain expressed in e</w:t>
      </w:r>
      <w:r>
        <w:rPr>
          <w:vertAlign w:val="superscript"/>
        </w:rPr>
        <w:t>-</w:t>
      </w:r>
      <w:r>
        <w:t>/DN is typically 110 e</w:t>
      </w:r>
      <w:r>
        <w:rPr>
          <w:vertAlign w:val="superscript"/>
        </w:rPr>
        <w:t>-</w:t>
      </w:r>
      <w:r>
        <w:t xml:space="preserve">/DN, as determined through a linear fit for observed signal levels &lt;6000 DN (60-80% full-well for most channels).  An example of the reduced data is shown in </w:t>
      </w:r>
      <w:r w:rsidR="004C78B9">
        <w:fldChar w:fldCharType="begin"/>
      </w:r>
      <w:r w:rsidR="00C903B6">
        <w:instrText xml:space="preserve"> REF _Ref201552840 \h </w:instrText>
      </w:r>
      <w:r w:rsidR="004C78B9">
        <w:fldChar w:fldCharType="separate"/>
      </w:r>
      <w:r w:rsidR="000D2EB4">
        <w:t xml:space="preserve">Figure </w:t>
      </w:r>
      <w:r w:rsidR="000D2EB4">
        <w:rPr>
          <w:noProof/>
        </w:rPr>
        <w:t>26</w:t>
      </w:r>
      <w:r w:rsidR="004C78B9">
        <w:fldChar w:fldCharType="end"/>
      </w:r>
      <w:r>
        <w:t>, where the observed signal in DN is plotted against σ</w:t>
      </w:r>
      <w:r>
        <w:rPr>
          <w:vertAlign w:val="superscript"/>
        </w:rPr>
        <w:t>2</w:t>
      </w:r>
      <w:r>
        <w:rPr>
          <w:vertAlign w:val="subscript"/>
        </w:rPr>
        <w:t>observed</w:t>
      </w:r>
      <w:r>
        <w:t>/2.  CCD saturation effects are responsible for the radical departure from the straight line at observed signal levels &gt;10000 DN.  Some channels showed significant departures from a line for signal levels as low as 7500 DN, considerably below their well depth as defined in the next Section</w:t>
      </w:r>
      <w:r w:rsidR="00201D0A">
        <w:t>.</w:t>
      </w:r>
      <w:r>
        <w:t xml:space="preserve">  It may be that flood illuminating a channel at signal levels above 7500 DN per integration produces anomalous noise in some cases, which would not be present in the sparsely illuminated science observations.</w:t>
      </w:r>
    </w:p>
    <w:p w:rsidR="00404448" w:rsidRDefault="000518AB" w:rsidP="00404448">
      <w:pPr>
        <w:keepNext/>
        <w:jc w:val="center"/>
      </w:pPr>
      <w:r>
        <w:rPr>
          <w:noProof/>
        </w:rPr>
        <w:drawing>
          <wp:inline distT="0" distB="0" distL="0" distR="0">
            <wp:extent cx="5939790" cy="4033520"/>
            <wp:effectExtent l="25400" t="0" r="381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9"/>
                    <a:srcRect/>
                    <a:stretch>
                      <a:fillRect/>
                    </a:stretch>
                  </pic:blipFill>
                  <pic:spPr bwMode="auto">
                    <a:xfrm>
                      <a:off x="0" y="0"/>
                      <a:ext cx="5939790" cy="4033520"/>
                    </a:xfrm>
                    <a:prstGeom prst="rect">
                      <a:avLst/>
                    </a:prstGeom>
                    <a:noFill/>
                    <a:ln w="9525">
                      <a:noFill/>
                      <a:miter lim="800000"/>
                      <a:headEnd/>
                      <a:tailEnd/>
                    </a:ln>
                  </pic:spPr>
                </pic:pic>
              </a:graphicData>
            </a:graphic>
          </wp:inline>
        </w:drawing>
      </w:r>
    </w:p>
    <w:p w:rsidR="00404448" w:rsidRPr="00662657" w:rsidRDefault="00404448" w:rsidP="00404448">
      <w:pPr>
        <w:pStyle w:val="Caption"/>
      </w:pPr>
      <w:bookmarkStart w:id="148" w:name="_Ref201552840"/>
      <w:bookmarkStart w:id="149" w:name="_Toc322942256"/>
      <w:r>
        <w:t xml:space="preserve">Figure </w:t>
      </w:r>
      <w:fldSimple w:instr=" SEQ Figure \* ARABIC ">
        <w:r w:rsidR="000D2EB4">
          <w:rPr>
            <w:noProof/>
          </w:rPr>
          <w:t>26</w:t>
        </w:r>
      </w:fldSimple>
      <w:bookmarkEnd w:id="148"/>
      <w:r>
        <w:t>:  Channel 10.1</w:t>
      </w:r>
      <w:r w:rsidRPr="00662657">
        <w:t xml:space="preserve"> photon transfer gain results</w:t>
      </w:r>
      <w:r>
        <w:t>, showing nominal results, from Ball document</w:t>
      </w:r>
      <w:r w:rsidRPr="005B275C">
        <w:rPr>
          <w:rFonts w:ascii="ArialMT" w:hAnsi="ArialMT" w:cs="ArialMT"/>
          <w:sz w:val="16"/>
          <w:szCs w:val="16"/>
        </w:rPr>
        <w:t xml:space="preserve"> </w:t>
      </w:r>
      <w:r>
        <w:rPr>
          <w:rFonts w:ascii="ArialMT" w:hAnsi="ArialMT" w:cs="ArialMT"/>
          <w:sz w:val="16"/>
          <w:szCs w:val="16"/>
        </w:rPr>
        <w:t>KEPLER.SER.FPA.020A</w:t>
      </w:r>
      <w:r>
        <w:t xml:space="preserve">.  </w:t>
      </w:r>
      <w:r w:rsidR="004C78B9">
        <w:fldChar w:fldCharType="begin"/>
      </w:r>
      <w:r w:rsidR="00C903B6">
        <w:instrText xml:space="preserve"> REF _Ref205702147 \h </w:instrText>
      </w:r>
      <w:r w:rsidR="004C78B9">
        <w:fldChar w:fldCharType="separate"/>
      </w:r>
      <w:r w:rsidR="000D2EB4">
        <w:t xml:space="preserve">Figure </w:t>
      </w:r>
      <w:r w:rsidR="000D2EB4">
        <w:rPr>
          <w:noProof/>
        </w:rPr>
        <w:t>27</w:t>
      </w:r>
      <w:r w:rsidR="004C78B9">
        <w:fldChar w:fldCharType="end"/>
      </w:r>
      <w:r>
        <w:t xml:space="preserve"> shows linearity results on the same channel.  Abscissa:  square of photon shot noise in DN.  Ordinate: Accumulated photocharge in DN.</w:t>
      </w:r>
      <w:bookmarkEnd w:id="149"/>
      <w:r>
        <w:t xml:space="preserve"> </w:t>
      </w:r>
    </w:p>
    <w:p w:rsidR="00404448" w:rsidRPr="001B4F16" w:rsidRDefault="00404448" w:rsidP="00404448">
      <w:r>
        <w:t xml:space="preserve">The measured gain for each of the 84 channels is shown in </w:t>
      </w:r>
      <w:r w:rsidR="00E607E6">
        <w:t>§</w:t>
      </w:r>
      <w:r w:rsidR="004C78B9">
        <w:fldChar w:fldCharType="begin"/>
      </w:r>
      <w:r w:rsidR="00C903B6">
        <w:instrText xml:space="preserve"> REF _Ref202070784 \r \h </w:instrText>
      </w:r>
      <w:r w:rsidR="004C78B9">
        <w:fldChar w:fldCharType="separate"/>
      </w:r>
      <w:r w:rsidR="000D2EB4">
        <w:t>7.7</w:t>
      </w:r>
      <w:r w:rsidR="004C78B9">
        <w:fldChar w:fldCharType="end"/>
      </w:r>
      <w:r w:rsidR="00201D0A">
        <w:t xml:space="preserve"> and delivered as an FC model to MAST</w:t>
      </w:r>
      <w:r w:rsidR="00284662">
        <w:t xml:space="preserve"> (KAM §2.3.5.8)</w:t>
      </w:r>
      <w:r w:rsidR="00201D0A">
        <w:t>.</w:t>
      </w:r>
    </w:p>
    <w:p w:rsidR="00404448" w:rsidRPr="00394F88" w:rsidRDefault="00404448" w:rsidP="00404448">
      <w:pPr>
        <w:pStyle w:val="Heading2"/>
        <w:rPr>
          <w:sz w:val="22"/>
        </w:rPr>
      </w:pPr>
      <w:bookmarkStart w:id="150" w:name="_Ref205701128"/>
      <w:bookmarkStart w:id="151" w:name="_Toc322942182"/>
      <w:bookmarkEnd w:id="146"/>
      <w:r w:rsidRPr="00394F88">
        <w:rPr>
          <w:sz w:val="22"/>
        </w:rPr>
        <w:t>Saturation, Linearity, and Charge Bleeding</w:t>
      </w:r>
      <w:bookmarkEnd w:id="150"/>
      <w:bookmarkEnd w:id="151"/>
    </w:p>
    <w:p w:rsidR="00404448" w:rsidRPr="000E2C16" w:rsidRDefault="00404448" w:rsidP="00404448">
      <w:r>
        <w:t>T</w:t>
      </w:r>
      <w:r w:rsidRPr="00AB33A8">
        <w:t>he observed s</w:t>
      </w:r>
      <w:r>
        <w:t xml:space="preserve">ignal in a pixel increases more-or-less linearly with flux until it reaches </w:t>
      </w:r>
      <w:r w:rsidRPr="00AB33A8">
        <w:t xml:space="preserve">the </w:t>
      </w:r>
      <w:r w:rsidRPr="00AC2BED">
        <w:rPr>
          <w:i/>
        </w:rPr>
        <w:t>well depth</w:t>
      </w:r>
      <w:r w:rsidRPr="00AB33A8">
        <w:t xml:space="preserve">, </w:t>
      </w:r>
      <w:r>
        <w:t xml:space="preserve">above which </w:t>
      </w:r>
      <w:r w:rsidRPr="00AB33A8">
        <w:t>the observed signal changes more slowly with photon flux</w:t>
      </w:r>
      <w:r>
        <w:t>.  The observed signal continues to increase</w:t>
      </w:r>
      <w:r w:rsidRPr="00AB33A8">
        <w:t>, until a maximum signal is reached at a level somewhat above the well depth (</w:t>
      </w:r>
      <w:r w:rsidR="004C78B9">
        <w:fldChar w:fldCharType="begin"/>
      </w:r>
      <w:r w:rsidR="00C903B6">
        <w:instrText xml:space="preserve"> REF _Ref205702147 \h </w:instrText>
      </w:r>
      <w:r w:rsidR="004C78B9">
        <w:fldChar w:fldCharType="separate"/>
      </w:r>
      <w:r w:rsidR="000D2EB4">
        <w:t xml:space="preserve">Figure </w:t>
      </w:r>
      <w:r w:rsidR="000D2EB4">
        <w:rPr>
          <w:noProof/>
        </w:rPr>
        <w:t>27</w:t>
      </w:r>
      <w:r w:rsidR="004C78B9">
        <w:fldChar w:fldCharType="end"/>
      </w:r>
      <w:r w:rsidR="007569A8">
        <w:t>, lower right</w:t>
      </w:r>
      <w:r w:rsidRPr="00AB33A8">
        <w:t xml:space="preserve">).  Below the well depth, the ratio of the observed response to the small-signal linear response is the </w:t>
      </w:r>
      <w:r>
        <w:rPr>
          <w:i/>
        </w:rPr>
        <w:t>nonlinearity</w:t>
      </w:r>
      <w:r w:rsidRPr="00AC2BED">
        <w:rPr>
          <w:i/>
        </w:rPr>
        <w:t xml:space="preserve"> function</w:t>
      </w:r>
      <w:r w:rsidRPr="00AB33A8">
        <w:t>, which for a linear system would be identically 1.  Above the well depth, it is observed that charge bleeds into adjacent pixels along the column containing the saturated sour</w:t>
      </w:r>
      <w:r>
        <w:t>ce (</w:t>
      </w:r>
      <w:r w:rsidR="004C78B9">
        <w:fldChar w:fldCharType="begin"/>
      </w:r>
      <w:r w:rsidR="00C903B6">
        <w:instrText xml:space="preserve"> REF _Ref109059684 \h </w:instrText>
      </w:r>
      <w:r w:rsidR="004C78B9">
        <w:fldChar w:fldCharType="separate"/>
      </w:r>
      <w:r w:rsidR="000D2EB4">
        <w:t xml:space="preserve">Figure </w:t>
      </w:r>
      <w:r w:rsidR="000D2EB4">
        <w:rPr>
          <w:noProof/>
        </w:rPr>
        <w:t>8</w:t>
      </w:r>
      <w:r w:rsidR="004C78B9">
        <w:fldChar w:fldCharType="end"/>
      </w:r>
      <w:r>
        <w:t xml:space="preserve"> and </w:t>
      </w:r>
      <w:r w:rsidR="004C78B9">
        <w:fldChar w:fldCharType="begin"/>
      </w:r>
      <w:r w:rsidR="00C903B6">
        <w:instrText xml:space="preserve"> REF _Ref109060002 \h </w:instrText>
      </w:r>
      <w:r w:rsidR="004C78B9">
        <w:fldChar w:fldCharType="separate"/>
      </w:r>
      <w:r w:rsidR="000D2EB4">
        <w:t xml:space="preserve">Figure </w:t>
      </w:r>
      <w:r w:rsidR="000D2EB4">
        <w:rPr>
          <w:noProof/>
        </w:rPr>
        <w:t>9</w:t>
      </w:r>
      <w:r w:rsidR="004C78B9">
        <w:fldChar w:fldCharType="end"/>
      </w:r>
      <w:r>
        <w:t xml:space="preserve">).  </w:t>
      </w:r>
      <w:r w:rsidRPr="00AB33A8">
        <w:t xml:space="preserve">Hence, the individual pixel response over the entire range of observed values is a combination of nonlinearity and charge bleeding.  These phenomena must be separated in the analysis, since only the nonlinearity is relevant to aperture photometry, as long as charge does not bleed out </w:t>
      </w:r>
      <w:r>
        <w:t xml:space="preserve">of </w:t>
      </w:r>
      <w:r w:rsidRPr="00AB33A8">
        <w:t>the aperture.   Consider a case in which the conversion factor from photons to electrons is constant for all signal levels, and for which the gain – the conversion factor from electrons to data numbers (DN) – is also constant with signal level.  Then all of the structure seen in the response curve for an individual pixel is due to cha</w:t>
      </w:r>
      <w:r>
        <w:t>rge bleeding.  F</w:t>
      </w:r>
      <w:r w:rsidRPr="00AB33A8">
        <w:t xml:space="preserve">or aperture photometry, in which the signal in all pixels in the aperture is added together, the response would be strictly linear until the charge started to bleed out of the aperture.  </w:t>
      </w:r>
      <w:r>
        <w:t>Applying per-pixel corrections</w:t>
      </w:r>
      <w:r w:rsidRPr="00AB33A8">
        <w:t xml:space="preserve"> over the full range </w:t>
      </w:r>
      <w:r>
        <w:t>of observed signals, and adding together</w:t>
      </w:r>
      <w:r w:rsidRPr="00AB33A8">
        <w:t xml:space="preserve"> all the f</w:t>
      </w:r>
      <w:r>
        <w:t>lux in a photometric aperture, would then double-count photoelectrons.</w:t>
      </w:r>
      <w:r w:rsidR="000E2C16">
        <w:t xml:space="preserve">  </w:t>
      </w:r>
    </w:p>
    <w:p w:rsidR="00404448" w:rsidRPr="000E2C16" w:rsidRDefault="00404448" w:rsidP="00404448">
      <w:r>
        <w:t xml:space="preserve">The observed </w:t>
      </w:r>
      <w:r w:rsidR="000E2C16">
        <w:t xml:space="preserve">pixel </w:t>
      </w:r>
      <w:r>
        <w:t xml:space="preserve">nonlinearity in the </w:t>
      </w:r>
      <w:r w:rsidR="004A3FBE" w:rsidRPr="004A3FBE">
        <w:rPr>
          <w:i/>
        </w:rPr>
        <w:t>Kepler</w:t>
      </w:r>
      <w:r>
        <w:t xml:space="preserve"> focal planes is on the order of +/-3% </w:t>
      </w:r>
      <w:r w:rsidR="000E2C16">
        <w:t xml:space="preserve">over the range of validity of the nonlinearity function </w:t>
      </w:r>
      <w:r>
        <w:t>(</w:t>
      </w:r>
      <w:r w:rsidR="004C78B9">
        <w:fldChar w:fldCharType="begin"/>
      </w:r>
      <w:r w:rsidR="00C903B6">
        <w:instrText xml:space="preserve"> REF _Ref205702147 \h </w:instrText>
      </w:r>
      <w:r w:rsidR="004C78B9">
        <w:fldChar w:fldCharType="separate"/>
      </w:r>
      <w:r w:rsidR="000D2EB4">
        <w:t xml:space="preserve">Figure </w:t>
      </w:r>
      <w:r w:rsidR="000D2EB4">
        <w:rPr>
          <w:noProof/>
        </w:rPr>
        <w:t>27</w:t>
      </w:r>
      <w:r w:rsidR="004C78B9">
        <w:fldChar w:fldCharType="end"/>
      </w:r>
      <w:r w:rsidR="007569A8">
        <w:t>, upper right</w:t>
      </w:r>
      <w:r>
        <w:t xml:space="preserve">). </w:t>
      </w:r>
      <w:r w:rsidR="000E2C16" w:rsidRPr="000E2C16">
        <w:t>Saturation occurs at about K</w:t>
      </w:r>
      <w:r w:rsidR="000E2C16" w:rsidRPr="009E0231">
        <w:rPr>
          <w:vertAlign w:val="subscript"/>
        </w:rPr>
        <w:t>p</w:t>
      </w:r>
      <w:r w:rsidR="000E2C16" w:rsidRPr="000E2C16">
        <w:t xml:space="preserve"> = 11.5</w:t>
      </w:r>
      <w:r w:rsidR="009E0231">
        <w:t xml:space="preserve"> at the standard 6.02 s exposure time</w:t>
      </w:r>
      <w:r w:rsidR="000E2C16" w:rsidRPr="000E2C16">
        <w:t xml:space="preserve">, but conservation of charge is preserved beyond saturation and excellent photometry is easily recovered from targets up to 7 magnitudes beyond saturation by summing over the </w:t>
      </w:r>
      <w:r w:rsidR="009E0231">
        <w:t>pixels bled into along columns (Gilliland et al. 2011).</w:t>
      </w:r>
    </w:p>
    <w:p w:rsidR="00404448" w:rsidRDefault="00404448" w:rsidP="00404448">
      <w:r>
        <w:t xml:space="preserve">In this Section, the term </w:t>
      </w:r>
      <w:r w:rsidRPr="00117B2F">
        <w:rPr>
          <w:i/>
        </w:rPr>
        <w:t>forward</w:t>
      </w:r>
      <w:r>
        <w:t xml:space="preserve"> indicates the transfer function from e- to DN, and </w:t>
      </w:r>
      <w:r w:rsidRPr="002937F1">
        <w:rPr>
          <w:i/>
        </w:rPr>
        <w:t xml:space="preserve">reverse </w:t>
      </w:r>
      <w:r>
        <w:t>in</w:t>
      </w:r>
      <w:r w:rsidR="007569A8">
        <w:t>dicates the transfer function from</w:t>
      </w:r>
      <w:r>
        <w:t xml:space="preserve"> DN to e-.  It is the reverse function, or </w:t>
      </w:r>
      <w:r w:rsidRPr="00093539">
        <w:rPr>
          <w:i/>
        </w:rPr>
        <w:t>linearization function</w:t>
      </w:r>
      <w:r>
        <w:t xml:space="preserve">, which </w:t>
      </w:r>
      <w:r w:rsidR="007569A8">
        <w:t>is used to accurately turn DN into e-</w:t>
      </w:r>
      <w:r>
        <w:t xml:space="preserve">.  The term </w:t>
      </w:r>
      <w:r w:rsidRPr="00117B2F">
        <w:rPr>
          <w:i/>
        </w:rPr>
        <w:t>differential</w:t>
      </w:r>
      <w:r>
        <w:t xml:space="preserve"> indicates the small change in output for a small change in input around an operating point.  Hence the term </w:t>
      </w:r>
      <w:r w:rsidRPr="00117B2F">
        <w:rPr>
          <w:i/>
        </w:rPr>
        <w:t>reverse differential photoresponse</w:t>
      </w:r>
      <w:r>
        <w:t xml:space="preserve"> ρ (RDP) is the small change in e- calculated from a small change in DN.   Fitting</w:t>
      </w:r>
      <w:r w:rsidRPr="00BC2279">
        <w:t xml:space="preserve"> RDP is superior to fitting the lineari</w:t>
      </w:r>
      <w:r>
        <w:t xml:space="preserve">zation function directly, since the fit to the numerical derivative of the data is more accurate than the derivative of a fit to the data for estimating the derivative.  The linearization function is then </w:t>
      </w:r>
      <w:r w:rsidRPr="00BC2279">
        <w:t>found by integration.</w:t>
      </w:r>
      <w:r w:rsidR="003F2406">
        <w:t xml:space="preserve"> The method and results </w:t>
      </w:r>
      <w:r>
        <w:t>for fitting the data are p</w:t>
      </w:r>
      <w:r w:rsidR="00C3449E">
        <w:t>rovided in detail in KADN-26</w:t>
      </w:r>
      <w:r w:rsidR="00C20FA8">
        <w:t xml:space="preserve">196 (Van Cleve, </w:t>
      </w:r>
      <w:r w:rsidR="00D2509C">
        <w:t>2016a</w:t>
      </w:r>
      <w:r w:rsidR="00C20FA8">
        <w:t>).</w:t>
      </w:r>
    </w:p>
    <w:p w:rsidR="00404448" w:rsidRPr="00117B2F" w:rsidRDefault="00404448" w:rsidP="00404448">
      <w:r>
        <w:t xml:space="preserve">Well depth is defined in </w:t>
      </w:r>
      <w:r w:rsidR="004C78B9">
        <w:fldChar w:fldCharType="begin"/>
      </w:r>
      <w:r w:rsidR="00C903B6">
        <w:instrText xml:space="preserve"> REF _Ref108511873 \h </w:instrText>
      </w:r>
      <w:r w:rsidR="004C78B9">
        <w:fldChar w:fldCharType="separate"/>
      </w:r>
      <w:r w:rsidR="000D2EB4">
        <w:t xml:space="preserve">Table </w:t>
      </w:r>
      <w:r w:rsidR="000D2EB4">
        <w:rPr>
          <w:noProof/>
        </w:rPr>
        <w:t>13</w:t>
      </w:r>
      <w:r w:rsidR="004C78B9">
        <w:fldChar w:fldCharType="end"/>
      </w:r>
      <w:r>
        <w:t xml:space="preserve"> and </w:t>
      </w:r>
      <w:r w:rsidR="004C78B9">
        <w:fldChar w:fldCharType="begin"/>
      </w:r>
      <w:r w:rsidR="00C903B6">
        <w:instrText xml:space="preserve"> REF _Ref205702147 \h </w:instrText>
      </w:r>
      <w:r w:rsidR="004C78B9">
        <w:fldChar w:fldCharType="separate"/>
      </w:r>
      <w:r w:rsidR="000D2EB4">
        <w:t xml:space="preserve">Figure </w:t>
      </w:r>
      <w:r w:rsidR="000D2EB4">
        <w:rPr>
          <w:noProof/>
        </w:rPr>
        <w:t>27</w:t>
      </w:r>
      <w:r w:rsidR="004C78B9">
        <w:fldChar w:fldCharType="end"/>
      </w:r>
      <w:r>
        <w:t xml:space="preserve"> as a 2.5% decrease in the forward differential photoresponse, compared to the small-signal limit.  That is, a small change in photon input corresponds to 2.5% fewer DNs on a given pixel than at low signal levels.</w:t>
      </w:r>
    </w:p>
    <w:p w:rsidR="00404448" w:rsidRDefault="004C78B9" w:rsidP="00404448">
      <w:pPr>
        <w:pStyle w:val="Caption"/>
      </w:pPr>
      <w:r>
        <w:pict>
          <v:group id="_x0000_s1511" style="width:468pt;height:326.15pt;mso-position-horizontal-relative:char;mso-position-vertical-relative:line" coordorigin="2445,5228" coordsize="10765,7551">
            <o:lock v:ext="edit" aspectratio="t"/>
            <v:shape id="_x0000_s1510" type="#_x0000_t75" style="position:absolute;left:2445;top:5228;width:10765;height:7551" o:preferrelative="f">
              <v:fill o:detectmouseclick="t"/>
              <v:path o:extrusionok="t" o:connecttype="none"/>
              <o:lock v:ext="edit" text="t"/>
            </v:shape>
            <v:shape id="_x0000_s1497" type="#_x0000_t75" style="position:absolute;left:7579;top:8979;width:5177;height:3800" fillcolor="#bbe0e3">
              <v:imagedata r:id="rId50" o:title=""/>
            </v:shape>
            <v:shape id="_x0000_s1498" type="#_x0000_t75" style="position:absolute;left:2445;top:9033;width:5175;height:3746" fillcolor="#bbe0e3">
              <v:imagedata r:id="rId51" o:title=""/>
            </v:shape>
            <v:shape id="_x0000_s1499" type="#_x0000_t75" style="position:absolute;left:2445;top:5298;width:5175;height:3724" fillcolor="#bbe0e3">
              <v:imagedata r:id="rId52" o:title=""/>
            </v:shape>
            <v:shape id="_x0000_s1500" type="#_x0000_t75" style="position:absolute;left:7620;top:5228;width:5174;height:3800" fillcolor="#bbe0e3">
              <v:imagedata r:id="rId53" o:title=""/>
            </v:shape>
            <v:shapetype id="_x0000_t202" coordsize="21600,21600" o:spt="202" path="m0,0l0,21600,21600,21600,21600,0xe">
              <v:stroke joinstyle="miter"/>
              <v:path gradientshapeok="t" o:connecttype="rect"/>
            </v:shapetype>
            <v:shape id="_x0000_s1501" type="#_x0000_t202" style="position:absolute;left:12041;top:9653;width:1169;height:447;v-text-anchor:top-baseline" stroked="f">
              <v:textbox style="mso-next-textbox:#_x0000_s1501" inset="61265emu,30632emu,61265emu,30632emu">
                <w:txbxContent>
                  <w:p w:rsidR="00FC6238" w:rsidRPr="00957C6A" w:rsidRDefault="00FC6238" w:rsidP="00404448">
                    <w:pPr>
                      <w:autoSpaceDE w:val="0"/>
                      <w:autoSpaceDN w:val="0"/>
                      <w:adjustRightInd w:val="0"/>
                      <w:rPr>
                        <w:rFonts w:cs="Arial"/>
                        <w:color w:val="000000"/>
                        <w:szCs w:val="36"/>
                      </w:rPr>
                    </w:pPr>
                    <w:r w:rsidRPr="00957C6A">
                      <w:rPr>
                        <w:rFonts w:cs="Arial"/>
                        <w:color w:val="000000"/>
                        <w:szCs w:val="36"/>
                      </w:rPr>
                      <w:t>C</w:t>
                    </w:r>
                    <w:r w:rsidRPr="00957C6A">
                      <w:rPr>
                        <w:rFonts w:cs="Arial"/>
                        <w:color w:val="000000"/>
                        <w:szCs w:val="36"/>
                        <w:vertAlign w:val="subscript"/>
                      </w:rPr>
                      <w:t>obs_max</w:t>
                    </w:r>
                  </w:p>
                </w:txbxContent>
              </v:textbox>
            </v:shape>
            <v:line id="_x0000_s1502" style="position:absolute;flip:x y" from="11743,9504" to="12041,9854" strokeweight="1.5pt">
              <v:stroke endarrow="block"/>
            </v:line>
            <v:line id="_x0000_s1503" style="position:absolute;flip:y" from="11866,5706" to="11866,8538" strokecolor="red"/>
            <v:shape id="_x0000_s1504" type="#_x0000_t202" style="position:absolute;left:10624;top:5958;width:618;height:1242;rotation:270;v-text-anchor:top-baseline" filled="f" fillcolor="#bbe0e3" stroked="f">
              <v:textbox style="mso-next-textbox:#_x0000_s1504" inset="61265emu,30632emu,61265emu,30632emu">
                <w:txbxContent>
                  <w:p w:rsidR="00FC6238" w:rsidRPr="00957C6A" w:rsidRDefault="00FC6238" w:rsidP="00404448">
                    <w:pPr>
                      <w:autoSpaceDE w:val="0"/>
                      <w:autoSpaceDN w:val="0"/>
                      <w:adjustRightInd w:val="0"/>
                      <w:rPr>
                        <w:rFonts w:cs="Arial"/>
                        <w:color w:val="000000"/>
                        <w:sz w:val="19"/>
                        <w:szCs w:val="28"/>
                      </w:rPr>
                    </w:pPr>
                    <w:r w:rsidRPr="00957C6A">
                      <w:rPr>
                        <w:rFonts w:cs="Arial"/>
                        <w:color w:val="000000"/>
                        <w:sz w:val="19"/>
                        <w:szCs w:val="28"/>
                      </w:rPr>
                      <w:t>Well</w:t>
                    </w:r>
                    <w:r w:rsidRPr="00957C6A">
                      <w:rPr>
                        <w:rFonts w:cs="Arial"/>
                        <w:color w:val="000000"/>
                        <w:sz w:val="21"/>
                        <w:szCs w:val="32"/>
                      </w:rPr>
                      <w:t xml:space="preserve"> </w:t>
                    </w:r>
                    <w:r w:rsidRPr="00957C6A">
                      <w:rPr>
                        <w:rFonts w:cs="Arial"/>
                        <w:color w:val="000000"/>
                        <w:sz w:val="19"/>
                        <w:szCs w:val="28"/>
                      </w:rPr>
                      <w:t>depth</w:t>
                    </w:r>
                  </w:p>
                </w:txbxContent>
              </v:textbox>
            </v:shape>
            <v:shape id="_x0000_s1505" type="#_x0000_t202" style="position:absolute;left:10312;top:8145;width:1547;height:373;v-text-anchor:top-baseline" filled="f" fillcolor="#bbe0e3" stroked="f">
              <v:textbox style="mso-next-textbox:#_x0000_s1505" inset="61265emu,30632emu,61265emu,30632emu">
                <w:txbxContent>
                  <w:p w:rsidR="00FC6238" w:rsidRPr="00957C6A" w:rsidRDefault="00FC6238" w:rsidP="00404448">
                    <w:pPr>
                      <w:autoSpaceDE w:val="0"/>
                      <w:autoSpaceDN w:val="0"/>
                      <w:adjustRightInd w:val="0"/>
                      <w:rPr>
                        <w:rFonts w:cs="Arial"/>
                        <w:color w:val="000000"/>
                        <w:sz w:val="19"/>
                        <w:szCs w:val="28"/>
                      </w:rPr>
                    </w:pPr>
                    <w:r w:rsidRPr="00957C6A">
                      <w:rPr>
                        <w:rFonts w:cs="Arial"/>
                        <w:color w:val="000000"/>
                        <w:sz w:val="19"/>
                        <w:szCs w:val="28"/>
                      </w:rPr>
                      <w:t>Fit to RDP</w:t>
                    </w:r>
                  </w:p>
                </w:txbxContent>
              </v:textbox>
            </v:shape>
            <v:line id="_x0000_s1506" style="position:absolute;flip:y" from="11482,7798" to="11593,8050" strokeweight="1.5pt">
              <v:stroke endarrow="block"/>
            </v:line>
            <v:line id="_x0000_s1507" style="position:absolute" from="8506,9904" to="11083,9908" strokecolor="red"/>
            <v:shape id="_x0000_s1508" type="#_x0000_t202" style="position:absolute;left:8782;top:9928;width:1638;height:371;v-text-anchor:top-baseline" filled="f" fillcolor="#bbe0e3" stroked="f">
              <v:textbox style="mso-next-textbox:#_x0000_s1508" inset="61265emu,30632emu,61265emu,30632emu">
                <w:txbxContent>
                  <w:p w:rsidR="00FC6238" w:rsidRPr="00957C6A" w:rsidRDefault="00FC6238" w:rsidP="00404448">
                    <w:pPr>
                      <w:autoSpaceDE w:val="0"/>
                      <w:autoSpaceDN w:val="0"/>
                      <w:adjustRightInd w:val="0"/>
                      <w:rPr>
                        <w:rFonts w:cs="Arial"/>
                        <w:color w:val="000000"/>
                        <w:sz w:val="19"/>
                        <w:szCs w:val="28"/>
                      </w:rPr>
                    </w:pPr>
                    <w:r w:rsidRPr="00957C6A">
                      <w:rPr>
                        <w:rFonts w:cs="Arial"/>
                        <w:color w:val="000000"/>
                        <w:sz w:val="19"/>
                        <w:szCs w:val="28"/>
                      </w:rPr>
                      <w:t>Well depth</w:t>
                    </w:r>
                  </w:p>
                </w:txbxContent>
              </v:textbox>
            </v:shape>
            <v:line id="_x0000_s1509" style="position:absolute;flip:x y" from="12478,8739" to="12564,9729" strokeweight="1.5pt">
              <v:stroke endarrow="block"/>
            </v:line>
            <v:line id="_x0000_s1512" style="position:absolute;flip:y" from="11457,5839" to="11871,6464">
              <v:stroke endarrow="block"/>
            </v:line>
            <w10:wrap type="none"/>
            <w10:anchorlock/>
          </v:group>
        </w:pict>
      </w:r>
    </w:p>
    <w:p w:rsidR="00404448" w:rsidRDefault="00404448" w:rsidP="00404448">
      <w:pPr>
        <w:pStyle w:val="Caption"/>
      </w:pPr>
      <w:bookmarkStart w:id="152" w:name="_Ref205702147"/>
      <w:bookmarkStart w:id="153" w:name="_Toc322942257"/>
      <w:r>
        <w:t xml:space="preserve">Figure </w:t>
      </w:r>
      <w:fldSimple w:instr=" SEQ Figure \* ARABIC ">
        <w:r w:rsidR="000D2EB4">
          <w:rPr>
            <w:noProof/>
          </w:rPr>
          <w:t>27</w:t>
        </w:r>
      </w:fldSimple>
      <w:bookmarkEnd w:id="152"/>
      <w:r>
        <w:t xml:space="preserve">: Example nonlinearity results, for channel 10.1.  </w:t>
      </w:r>
      <w:r w:rsidRPr="00893000">
        <w:rPr>
          <w:i/>
        </w:rPr>
        <w:t>C</w:t>
      </w:r>
      <w:r w:rsidRPr="00893000">
        <w:rPr>
          <w:i/>
          <w:vertAlign w:val="subscript"/>
        </w:rPr>
        <w:t>obs</w:t>
      </w:r>
      <w:r>
        <w:t xml:space="preserve"> is the observed photocharge (in DN) in a pixel, while </w:t>
      </w:r>
      <w:r w:rsidRPr="00893000">
        <w:rPr>
          <w:i/>
        </w:rPr>
        <w:t>C</w:t>
      </w:r>
      <w:r w:rsidRPr="00893000">
        <w:rPr>
          <w:i/>
          <w:vertAlign w:val="subscript"/>
        </w:rPr>
        <w:t>lin</w:t>
      </w:r>
      <w:r>
        <w:t xml:space="preserve"> is the linearized photocharge, which is proportional to the photon count, expected on that pixel.  Differential responsivity is </w:t>
      </w:r>
      <w:r w:rsidRPr="00893000">
        <w:rPr>
          <w:i/>
        </w:rPr>
        <w:t>dC</w:t>
      </w:r>
      <w:r w:rsidRPr="00893000">
        <w:rPr>
          <w:i/>
          <w:vertAlign w:val="subscript"/>
        </w:rPr>
        <w:t>obs</w:t>
      </w:r>
      <w:r w:rsidRPr="00893000">
        <w:rPr>
          <w:i/>
        </w:rPr>
        <w:t>/dC</w:t>
      </w:r>
      <w:r w:rsidRPr="00893000">
        <w:rPr>
          <w:i/>
          <w:vertAlign w:val="subscript"/>
        </w:rPr>
        <w:t>lin</w:t>
      </w:r>
      <w:r>
        <w:t xml:space="preserve">. The maximum observable signal </w:t>
      </w:r>
      <w:r w:rsidRPr="00893000">
        <w:rPr>
          <w:i/>
        </w:rPr>
        <w:t>C</w:t>
      </w:r>
      <w:r w:rsidRPr="00893000">
        <w:rPr>
          <w:i/>
          <w:vertAlign w:val="subscript"/>
        </w:rPr>
        <w:t>obs_max</w:t>
      </w:r>
      <w:r>
        <w:t xml:space="preserve"> is </w:t>
      </w:r>
      <w:r w:rsidRPr="00E778A7">
        <w:t xml:space="preserve">11971 </w:t>
      </w:r>
      <w:r>
        <w:t xml:space="preserve">DN, and the well depth </w:t>
      </w:r>
      <w:r w:rsidRPr="00E778A7">
        <w:t>10093</w:t>
      </w:r>
      <w:r>
        <w:t xml:space="preserve"> DN. Well depth is marked as a red line.  </w:t>
      </w:r>
      <w:r w:rsidR="004C78B9">
        <w:fldChar w:fldCharType="begin"/>
      </w:r>
      <w:r w:rsidR="00C903B6">
        <w:instrText xml:space="preserve"> REF _Ref201552840 \h </w:instrText>
      </w:r>
      <w:r w:rsidR="004C78B9">
        <w:fldChar w:fldCharType="separate"/>
      </w:r>
      <w:r w:rsidR="000D2EB4">
        <w:t xml:space="preserve">Figure </w:t>
      </w:r>
      <w:r w:rsidR="000D2EB4">
        <w:rPr>
          <w:noProof/>
        </w:rPr>
        <w:t>26</w:t>
      </w:r>
      <w:r w:rsidR="004C78B9">
        <w:fldChar w:fldCharType="end"/>
      </w:r>
      <w:r>
        <w:t xml:space="preserve"> shows the gain results on the same channel.</w:t>
      </w:r>
      <w:bookmarkEnd w:id="153"/>
    </w:p>
    <w:p w:rsidR="00404448" w:rsidRPr="00662657" w:rsidRDefault="00404448" w:rsidP="00404448"/>
    <w:p w:rsidR="00404448" w:rsidRPr="00394F88" w:rsidRDefault="00404448" w:rsidP="00404448">
      <w:pPr>
        <w:pStyle w:val="Heading2"/>
        <w:rPr>
          <w:sz w:val="22"/>
        </w:rPr>
      </w:pPr>
      <w:bookmarkStart w:id="154" w:name="_Ref108500793"/>
      <w:bookmarkStart w:id="155" w:name="_Toc322942183"/>
      <w:r w:rsidRPr="00394F88">
        <w:rPr>
          <w:sz w:val="22"/>
        </w:rPr>
        <w:t>A/D converter Differential Nonlinearity</w:t>
      </w:r>
      <w:bookmarkEnd w:id="154"/>
      <w:bookmarkEnd w:id="155"/>
    </w:p>
    <w:p w:rsidR="00404448" w:rsidRDefault="00404448" w:rsidP="00404448">
      <w:r>
        <w:t xml:space="preserve">An ideal Analog-to-Digital Converter (ADC) exhibits code (digital number output) transitions that are exactly 1 Least Significant Bit (LSB) apart – that is, </w:t>
      </w:r>
    </w:p>
    <w:p w:rsidR="00404448" w:rsidRDefault="00404448" w:rsidP="00404448">
      <w:r>
        <w:t>V</w:t>
      </w:r>
      <w:r>
        <w:rPr>
          <w:vertAlign w:val="subscript"/>
        </w:rPr>
        <w:t xml:space="preserve">LSB </w:t>
      </w:r>
      <w:r>
        <w:rPr>
          <w:rFonts w:cs="Arial"/>
        </w:rPr>
        <w:t>≡</w:t>
      </w:r>
      <w:r>
        <w:t>(A/D range in V)/(2</w:t>
      </w:r>
      <w:r w:rsidRPr="002B5585">
        <w:rPr>
          <w:vertAlign w:val="superscript"/>
        </w:rPr>
        <w:t>(number of A/D bits)</w:t>
      </w:r>
      <w:r>
        <w:t xml:space="preserve">)                                                                                 Eq. </w:t>
      </w:r>
      <w:r w:rsidR="004C78B9">
        <w:fldChar w:fldCharType="begin"/>
      </w:r>
      <w:r w:rsidR="00C903B6">
        <w:instrText xml:space="preserve"> REF _Ref108500793 \r \h </w:instrText>
      </w:r>
      <w:r w:rsidR="004C78B9">
        <w:fldChar w:fldCharType="separate"/>
      </w:r>
      <w:r w:rsidR="000D2EB4">
        <w:t>4.11</w:t>
      </w:r>
      <w:r w:rsidR="004C78B9">
        <w:fldChar w:fldCharType="end"/>
      </w:r>
      <w:r>
        <w:t>-1</w:t>
      </w:r>
    </w:p>
    <w:p w:rsidR="00404448" w:rsidRDefault="00404448" w:rsidP="00404448">
      <w:r>
        <w:t>DNL(V</w:t>
      </w:r>
      <w:r>
        <w:rPr>
          <w:vertAlign w:val="subscript"/>
        </w:rPr>
        <w:t>in</w:t>
      </w:r>
      <w:r>
        <w:t xml:space="preserve">) – A/D Differential </w:t>
      </w:r>
      <w:r w:rsidR="002D095B">
        <w:t>Nonlinearity</w:t>
      </w:r>
      <w:r>
        <w:t xml:space="preserve"> -- is the ratio of the voltage between code transitions divided by V</w:t>
      </w:r>
      <w:r>
        <w:rPr>
          <w:vertAlign w:val="subscript"/>
        </w:rPr>
        <w:t>LSB</w:t>
      </w:r>
      <w:r>
        <w:t>, at a given noiseless input voltage V</w:t>
      </w:r>
      <w:r>
        <w:rPr>
          <w:vertAlign w:val="subscript"/>
        </w:rPr>
        <w:t>in</w:t>
      </w:r>
      <w:r>
        <w:t>.  If DNL is reported as a single number, it is the standard deviation of DNL(V</w:t>
      </w:r>
      <w:r>
        <w:rPr>
          <w:vertAlign w:val="subscript"/>
        </w:rPr>
        <w:t>in</w:t>
      </w:r>
      <w:r>
        <w:t xml:space="preserve">). </w:t>
      </w:r>
      <w:r w:rsidRPr="007149D0">
        <w:t xml:space="preserve"> </w:t>
      </w:r>
      <w:r>
        <w:t xml:space="preserve">INL – Integral </w:t>
      </w:r>
      <w:r w:rsidR="002D095B">
        <w:t>Nonlinearity</w:t>
      </w:r>
      <w:r>
        <w:t xml:space="preserve"> -- refers to the deviation of each individual code from a line drawn from “negative full scale” through “positive full scale.”  The deviation is measured from the middle of each particular code to the true straight line.  The fine structure (a few DN) of nonlinearity is DNL, while INL is folded in with the large-scale nonlinearity discussed in </w:t>
      </w:r>
      <w:r w:rsidR="00E607E6">
        <w:t>§</w:t>
      </w:r>
      <w:r w:rsidR="004C78B9">
        <w:fldChar w:fldCharType="begin"/>
      </w:r>
      <w:r w:rsidR="00C903B6">
        <w:instrText xml:space="preserve"> REF _Ref205701128 \r \h </w:instrText>
      </w:r>
      <w:r w:rsidR="004C78B9">
        <w:fldChar w:fldCharType="separate"/>
      </w:r>
      <w:r w:rsidR="000D2EB4">
        <w:t>4.10</w:t>
      </w:r>
      <w:r w:rsidR="004C78B9">
        <w:fldChar w:fldCharType="end"/>
      </w:r>
      <w:r>
        <w:t xml:space="preserve">.  </w:t>
      </w:r>
    </w:p>
    <w:p w:rsidR="00404448" w:rsidRDefault="00404448" w:rsidP="00404448">
      <w:r>
        <w:t>Since the code widths corresponding to the specified DNL for the A/D converter can range between 0.6-1.7 V</w:t>
      </w:r>
      <w:r>
        <w:rPr>
          <w:vertAlign w:val="subscript"/>
        </w:rPr>
        <w:t>LSB</w:t>
      </w:r>
      <w:r>
        <w:t>, a noiseless system might give 0, 1, or 2 change in DN for a voltage change of V</w:t>
      </w:r>
      <w:r>
        <w:rPr>
          <w:vertAlign w:val="subscript"/>
        </w:rPr>
        <w:t>LSB</w:t>
      </w:r>
      <w:r>
        <w:t>.  A voltage change of 2V</w:t>
      </w:r>
      <w:r>
        <w:rPr>
          <w:vertAlign w:val="subscript"/>
        </w:rPr>
        <w:t>LSB</w:t>
      </w:r>
      <w:r>
        <w:t xml:space="preserve"> could produce a change in DN of 2, 3, or 4 DN.  Hence, the small change in flux is unknown to a factor of 2, since both V</w:t>
      </w:r>
      <w:r>
        <w:rPr>
          <w:vertAlign w:val="subscript"/>
        </w:rPr>
        <w:t>LSB</w:t>
      </w:r>
      <w:r>
        <w:t xml:space="preserve"> and 2V</w:t>
      </w:r>
      <w:r>
        <w:rPr>
          <w:vertAlign w:val="subscript"/>
        </w:rPr>
        <w:t>LSB</w:t>
      </w:r>
      <w:r>
        <w:t xml:space="preserve"> differential signals can give the same DN change of 2 DN.  Since </w:t>
      </w:r>
      <w:r w:rsidR="00C3449E">
        <w:t xml:space="preserve">the </w:t>
      </w:r>
      <w:r>
        <w:t>magnitude of a transit of an Earth-sized planet orbiting a 12</w:t>
      </w:r>
      <w:r w:rsidRPr="005058A7">
        <w:rPr>
          <w:vertAlign w:val="superscript"/>
        </w:rPr>
        <w:t>th</w:t>
      </w:r>
      <w:r>
        <w:t xml:space="preserve"> magnitude G2V star like the Sun is about 1.0 DN per integration, this would be a problem for a noiseless system with all the flux concentrated in one pixel.  </w:t>
      </w:r>
    </w:p>
    <w:p w:rsidR="00404448" w:rsidRPr="00492448" w:rsidRDefault="00404448" w:rsidP="00404448">
      <w:r>
        <w:t xml:space="preserve">For </w:t>
      </w:r>
      <w:r w:rsidR="004A3FBE" w:rsidRPr="004A3FBE">
        <w:rPr>
          <w:i/>
        </w:rPr>
        <w:t>Kepler</w:t>
      </w:r>
      <w:r>
        <w:t xml:space="preserve">, multiple readings of a system with random noise ~1 DN substantially reduce this problem.  DNL was measured in the PH0002 Focal Plane Characterization Test, by illuminating the array with a sinusoidal pattern. </w:t>
      </w:r>
      <w:r w:rsidR="004C78B9">
        <w:fldChar w:fldCharType="begin"/>
      </w:r>
      <w:r w:rsidR="00C903B6">
        <w:instrText xml:space="preserve"> REF _Ref205708476 \h </w:instrText>
      </w:r>
      <w:r w:rsidR="004C78B9">
        <w:fldChar w:fldCharType="separate"/>
      </w:r>
      <w:r w:rsidR="000D2EB4">
        <w:t xml:space="preserve">Figure </w:t>
      </w:r>
      <w:r w:rsidR="000D2EB4">
        <w:rPr>
          <w:noProof/>
        </w:rPr>
        <w:t>28</w:t>
      </w:r>
      <w:r w:rsidR="004C78B9">
        <w:fldChar w:fldCharType="end"/>
      </w:r>
      <w:r>
        <w:t xml:space="preserve"> shows an example DNL, shown here as the code histogram, divided by a 39-pixel boxcar average of the code histogram.  Assuming a uniform distribution of inputs, approximately true for the sinusoidal input, the normalized code histogram is equal to DNL.  If 1% outliers are discarded, the RMS DNL is 4.6%.  Large spikes, in excess of a Gaussian distribution, are due to several bits on the A/D changing at once, and their separation is a power of 2.  If the DNL histogram is noise-smoothed, using a dynamic bin width equal to the calculated total noise (read noise and shot noise), the RMS is reduced to 1.4%, negligible compared to the requirements dis</w:t>
      </w:r>
      <w:r w:rsidR="00C3449E">
        <w:t>cussed in more detail in KADN-26</w:t>
      </w:r>
      <w:r>
        <w:t>196</w:t>
      </w:r>
      <w:r w:rsidR="00DE09BD">
        <w:t xml:space="preserve"> (Van Cleve, </w:t>
      </w:r>
      <w:r w:rsidR="00D2509C">
        <w:t>2016a</w:t>
      </w:r>
      <w:r w:rsidR="00DE09BD">
        <w:t>)</w:t>
      </w:r>
      <w:r>
        <w:t xml:space="preserve">, and in good agreement with what is expected if codes and code widths were uncorrelated.  Hence, for most channels in the focal plane, DNL can be neglected.  However, one ADC shows anomalously high DNL: output </w:t>
      </w:r>
      <w:r w:rsidRPr="00492448">
        <w:t>3 on ECA-5 (</w:t>
      </w:r>
      <w:r>
        <w:t>channels 6.3, 11.3, 16.3).</w:t>
      </w:r>
    </w:p>
    <w:p w:rsidR="00404448" w:rsidRDefault="00404448" w:rsidP="00404448">
      <w:pPr>
        <w:keepNext/>
      </w:pPr>
    </w:p>
    <w:p w:rsidR="00404448" w:rsidRDefault="000518AB" w:rsidP="00404448">
      <w:pPr>
        <w:keepNext/>
      </w:pPr>
      <w:r>
        <w:rPr>
          <w:noProof/>
        </w:rPr>
        <w:drawing>
          <wp:inline distT="0" distB="0" distL="0" distR="0">
            <wp:extent cx="5791200" cy="4083050"/>
            <wp:effectExtent l="2540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4"/>
                    <a:srcRect/>
                    <a:stretch>
                      <a:fillRect/>
                    </a:stretch>
                  </pic:blipFill>
                  <pic:spPr bwMode="auto">
                    <a:xfrm>
                      <a:off x="0" y="0"/>
                      <a:ext cx="5791200" cy="4083050"/>
                    </a:xfrm>
                    <a:prstGeom prst="rect">
                      <a:avLst/>
                    </a:prstGeom>
                    <a:noFill/>
                    <a:ln w="9525">
                      <a:noFill/>
                      <a:miter lim="800000"/>
                      <a:headEnd/>
                      <a:tailEnd/>
                    </a:ln>
                  </pic:spPr>
                </pic:pic>
              </a:graphicData>
            </a:graphic>
          </wp:inline>
        </w:drawing>
      </w:r>
    </w:p>
    <w:p w:rsidR="00404448" w:rsidRDefault="00404448" w:rsidP="00404448">
      <w:pPr>
        <w:pStyle w:val="Caption"/>
        <w:outlineLvl w:val="0"/>
      </w:pPr>
      <w:bookmarkStart w:id="156" w:name="_Ref205708476"/>
      <w:bookmarkStart w:id="157" w:name="_Toc322942258"/>
      <w:r>
        <w:t xml:space="preserve">Figure </w:t>
      </w:r>
      <w:fldSimple w:instr=" SEQ Figure \* ARABIC ">
        <w:r w:rsidR="000D2EB4">
          <w:rPr>
            <w:noProof/>
          </w:rPr>
          <w:t>28</w:t>
        </w:r>
      </w:fldSimple>
      <w:bookmarkEnd w:id="156"/>
      <w:r>
        <w:t>:  DNL for ECA-503 (also known as ECA-4), channel 1</w:t>
      </w:r>
      <w:bookmarkEnd w:id="157"/>
    </w:p>
    <w:p w:rsidR="00404448" w:rsidRPr="00394F88" w:rsidRDefault="00404448" w:rsidP="00404448">
      <w:pPr>
        <w:pStyle w:val="Heading2"/>
        <w:rPr>
          <w:sz w:val="22"/>
        </w:rPr>
      </w:pPr>
      <w:bookmarkStart w:id="158" w:name="_Ref108779893"/>
      <w:bookmarkStart w:id="159" w:name="_Toc322942184"/>
      <w:r w:rsidRPr="00394F88">
        <w:rPr>
          <w:sz w:val="22"/>
        </w:rPr>
        <w:t>Inter-Pixel Response Nonuniformity</w:t>
      </w:r>
      <w:bookmarkEnd w:id="158"/>
      <w:bookmarkEnd w:id="159"/>
    </w:p>
    <w:p w:rsidR="00404448" w:rsidRDefault="00404448" w:rsidP="00404448">
      <w:pPr>
        <w:pStyle w:val="Caption"/>
        <w:rPr>
          <w:b w:val="0"/>
        </w:rPr>
      </w:pPr>
      <w:r w:rsidRPr="00257E25">
        <w:rPr>
          <w:b w:val="0"/>
        </w:rPr>
        <w:t>Photoresponse non-uniformity (PRNU) is a measure of the variation in pixel-to-pixel responsivity ac</w:t>
      </w:r>
      <w:r>
        <w:rPr>
          <w:b w:val="0"/>
        </w:rPr>
        <w:t>ross the photosensitive area.  PRNU is used in t</w:t>
      </w:r>
      <w:r w:rsidR="00DE09BD">
        <w:rPr>
          <w:b w:val="0"/>
        </w:rPr>
        <w:t>he construction of the small-scale flat FC model (KAM §2.3.5.12)</w:t>
      </w:r>
      <w:r>
        <w:rPr>
          <w:b w:val="0"/>
        </w:rPr>
        <w:t xml:space="preserve">.  </w:t>
      </w:r>
      <w:r w:rsidRPr="00257E25">
        <w:rPr>
          <w:b w:val="0"/>
        </w:rPr>
        <w:t xml:space="preserve">Global PRNU, also referred to as low </w:t>
      </w:r>
      <w:r>
        <w:rPr>
          <w:b w:val="0"/>
        </w:rPr>
        <w:t xml:space="preserve">spatial </w:t>
      </w:r>
      <w:r w:rsidRPr="00257E25">
        <w:rPr>
          <w:b w:val="0"/>
        </w:rPr>
        <w:t>frequency PRNU, measures the variation across the e</w:t>
      </w:r>
      <w:r>
        <w:rPr>
          <w:b w:val="0"/>
        </w:rPr>
        <w:t>ntire photosensitive area of given channel</w:t>
      </w:r>
      <w:r w:rsidRPr="00257E25">
        <w:rPr>
          <w:b w:val="0"/>
        </w:rPr>
        <w:t>. Local PRNU, also referred to as high frequency PRNU, measures the variation across only a small localized area. PRNU</w:t>
      </w:r>
      <w:r>
        <w:rPr>
          <w:b w:val="0"/>
        </w:rPr>
        <w:t xml:space="preserve"> </w:t>
      </w:r>
      <w:r w:rsidRPr="00257E25">
        <w:rPr>
          <w:b w:val="0"/>
        </w:rPr>
        <w:t>specifications are defined as a percent deviation from the average pixel response at a specified average pixel signal level.</w:t>
      </w:r>
      <w:r>
        <w:rPr>
          <w:b w:val="0"/>
        </w:rPr>
        <w:t xml:space="preserve">  </w:t>
      </w:r>
      <w:r w:rsidRPr="00257E25">
        <w:rPr>
          <w:b w:val="0"/>
        </w:rPr>
        <w:t xml:space="preserve">Therefore, a PRNU specification of A% at a signal level of B is taken to mean that </w:t>
      </w:r>
      <w:r>
        <w:rPr>
          <w:b w:val="0"/>
        </w:rPr>
        <w:t xml:space="preserve">the robust standard deviation of the pixel photoresponses is </w:t>
      </w:r>
      <w:r w:rsidRPr="00257E25">
        <w:rPr>
          <w:b w:val="0"/>
        </w:rPr>
        <w:t>A% of the average pixel signal level when the average pixel signal level is set to B by exposing the imager to a flat field</w:t>
      </w:r>
      <w:r>
        <w:rPr>
          <w:b w:val="0"/>
        </w:rPr>
        <w:t xml:space="preserve">.    </w:t>
      </w:r>
    </w:p>
    <w:p w:rsidR="00404448" w:rsidRPr="00BA4238" w:rsidRDefault="00404448" w:rsidP="00404448">
      <w:pPr>
        <w:pStyle w:val="Caption"/>
        <w:rPr>
          <w:b w:val="0"/>
        </w:rPr>
      </w:pPr>
      <w:r>
        <w:rPr>
          <w:b w:val="0"/>
        </w:rPr>
        <w:t>PRNU</w:t>
      </w:r>
      <w:r w:rsidRPr="00E84E08">
        <w:rPr>
          <w:b w:val="0"/>
        </w:rPr>
        <w:t xml:space="preserve"> is measured by uniformly illuminating the focal plane.</w:t>
      </w:r>
      <w:r>
        <w:rPr>
          <w:b w:val="0"/>
        </w:rPr>
        <w:t xml:space="preserve">  Since it is difficult in practice to uniformly illuminate large focal planes such as </w:t>
      </w:r>
      <w:r w:rsidR="004A3FBE" w:rsidRPr="004A3FBE">
        <w:rPr>
          <w:b w:val="0"/>
          <w:i/>
        </w:rPr>
        <w:t>Kepler</w:t>
      </w:r>
      <w:r>
        <w:rPr>
          <w:b w:val="0"/>
        </w:rPr>
        <w:t>’s, only local PRNU can be calculated t</w:t>
      </w:r>
      <w:r w:rsidR="00C3449E">
        <w:rPr>
          <w:b w:val="0"/>
        </w:rPr>
        <w:t>o a high degree of accuracy (</w:t>
      </w:r>
      <w:r>
        <w:rPr>
          <w:b w:val="0"/>
        </w:rPr>
        <w:t>&lt;5%).  The mean and standard deviation of photoresponse over a small, moving sample box is calculated.  Outliers at the 50% level are marked as bad pixels</w:t>
      </w:r>
      <w:r w:rsidR="00C3449E">
        <w:rPr>
          <w:b w:val="0"/>
        </w:rPr>
        <w:t xml:space="preserve"> for the PRNU calculation, though bad pixel masking is not used in the pipeline (KAM §2.3.5.13).  O</w:t>
      </w:r>
      <w:r>
        <w:rPr>
          <w:b w:val="0"/>
        </w:rPr>
        <w:t xml:space="preserve">utliers at the 10% level are excluded from the calculation of standard deviation.  While these thresholds are somewhat arbitrary, they are necessary to prevent the local statistics from being dominated by hot or dead pixels.  The mean of the standard deviation image is then taken to be representative of the PRNU of the channel as a whole.  Typical 1σ Local PRNU values are 1.0%, as shown in </w:t>
      </w:r>
      <w:fldSimple w:instr=" REF _Ref205883162 \h  \* MERGEFORMAT ">
        <w:r w:rsidR="000D2EB4" w:rsidRPr="000D2EB4">
          <w:rPr>
            <w:b w:val="0"/>
          </w:rPr>
          <w:t xml:space="preserve">Table </w:t>
        </w:r>
        <w:r w:rsidR="000D2EB4" w:rsidRPr="000D2EB4">
          <w:rPr>
            <w:b w:val="0"/>
            <w:noProof/>
          </w:rPr>
          <w:t>9</w:t>
        </w:r>
      </w:fldSimple>
      <w:r>
        <w:rPr>
          <w:b w:val="0"/>
        </w:rPr>
        <w:t xml:space="preserve">.  Local PRNU does not vary by much from channel to channel [Caldwell, 2007].  </w:t>
      </w:r>
    </w:p>
    <w:p w:rsidR="00404448" w:rsidRPr="007D6891" w:rsidRDefault="00404448" w:rsidP="00404448">
      <w:pPr>
        <w:pStyle w:val="Caption"/>
      </w:pPr>
      <w:bookmarkStart w:id="160" w:name="_Ref205883162"/>
      <w:bookmarkStart w:id="161" w:name="_Toc322942288"/>
      <w:r>
        <w:t xml:space="preserve">Table </w:t>
      </w:r>
      <w:fldSimple w:instr=" SEQ Table \* ARABIC ">
        <w:r w:rsidR="000D2EB4">
          <w:rPr>
            <w:noProof/>
          </w:rPr>
          <w:t>9</w:t>
        </w:r>
      </w:fldSimple>
      <w:bookmarkEnd w:id="160"/>
      <w:r>
        <w:t>:</w:t>
      </w:r>
      <w:r w:rsidRPr="00E84E08">
        <w:t xml:space="preserve"> </w:t>
      </w:r>
      <w:r>
        <w:t>PRNU - 1</w:t>
      </w:r>
      <w:r w:rsidRPr="007D6891">
        <w:rPr>
          <w:rFonts w:ascii="Symbol" w:hAnsi="Symbol"/>
        </w:rPr>
        <w:t></w:t>
      </w:r>
      <w:r>
        <w:t xml:space="preserve"> standard deviation in percent with outliers clipped at ±10%. ECA number is indicated by color: </w:t>
      </w:r>
      <w:r w:rsidRPr="007D6891">
        <w:rPr>
          <w:color w:val="FF99CC"/>
          <w:highlight w:val="black"/>
        </w:rPr>
        <w:t>ECA-1</w:t>
      </w:r>
      <w:r w:rsidRPr="007D6891">
        <w:rPr>
          <w:highlight w:val="black"/>
        </w:rPr>
        <w:t xml:space="preserve">, </w:t>
      </w:r>
      <w:r w:rsidRPr="007D6891">
        <w:rPr>
          <w:color w:val="CCFFCC"/>
          <w:highlight w:val="black"/>
        </w:rPr>
        <w:t>ECA-2</w:t>
      </w:r>
      <w:r w:rsidRPr="007D6891">
        <w:rPr>
          <w:highlight w:val="black"/>
        </w:rPr>
        <w:t xml:space="preserve">, </w:t>
      </w:r>
      <w:r w:rsidRPr="007D6891">
        <w:rPr>
          <w:color w:val="CC99FF"/>
          <w:highlight w:val="black"/>
        </w:rPr>
        <w:t>ECA-3</w:t>
      </w:r>
      <w:r w:rsidRPr="007D6891">
        <w:rPr>
          <w:highlight w:val="black"/>
        </w:rPr>
        <w:t xml:space="preserve">, </w:t>
      </w:r>
      <w:r w:rsidRPr="007D6891">
        <w:rPr>
          <w:color w:val="99CCFF"/>
          <w:highlight w:val="black"/>
        </w:rPr>
        <w:t>ECA-4</w:t>
      </w:r>
      <w:r w:rsidRPr="007D6891">
        <w:rPr>
          <w:highlight w:val="black"/>
        </w:rPr>
        <w:t xml:space="preserve">, </w:t>
      </w:r>
      <w:r w:rsidRPr="007D6891">
        <w:rPr>
          <w:color w:val="FFFF99"/>
          <w:highlight w:val="black"/>
        </w:rPr>
        <w:t>ECA-5</w:t>
      </w:r>
      <w:r w:rsidRPr="007D6891">
        <w:t>.</w:t>
      </w:r>
      <w:r>
        <w:t xml:space="preserve">  From [Caldwell, 2007].</w:t>
      </w:r>
      <w:bookmarkEnd w:id="161"/>
      <w: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tblPr>
      <w:tblGrid>
        <w:gridCol w:w="1175"/>
        <w:gridCol w:w="1868"/>
        <w:gridCol w:w="1869"/>
        <w:gridCol w:w="1869"/>
        <w:gridCol w:w="1869"/>
      </w:tblGrid>
      <w:tr w:rsidR="00404448" w:rsidRPr="008A336E">
        <w:trPr>
          <w:tblHeader/>
        </w:trPr>
        <w:tc>
          <w:tcPr>
            <w:tcW w:w="1175" w:type="dxa"/>
          </w:tcPr>
          <w:p w:rsidR="00404448" w:rsidRPr="008A39DA" w:rsidRDefault="00404448" w:rsidP="00404448">
            <w:pPr>
              <w:rPr>
                <w:b/>
              </w:rPr>
            </w:pPr>
            <w:r>
              <w:rPr>
                <w:b/>
              </w:rPr>
              <w:t>Module</w:t>
            </w:r>
          </w:p>
        </w:tc>
        <w:tc>
          <w:tcPr>
            <w:tcW w:w="1868" w:type="dxa"/>
          </w:tcPr>
          <w:p w:rsidR="00404448" w:rsidRPr="008A39DA" w:rsidRDefault="00404448" w:rsidP="00404448">
            <w:pPr>
              <w:rPr>
                <w:b/>
              </w:rPr>
            </w:pPr>
            <w:r w:rsidRPr="008A39DA">
              <w:rPr>
                <w:b/>
              </w:rPr>
              <w:t>Output 1</w:t>
            </w:r>
          </w:p>
        </w:tc>
        <w:tc>
          <w:tcPr>
            <w:tcW w:w="1869" w:type="dxa"/>
          </w:tcPr>
          <w:p w:rsidR="00404448" w:rsidRPr="008A39DA" w:rsidRDefault="00404448" w:rsidP="00404448">
            <w:pPr>
              <w:rPr>
                <w:b/>
              </w:rPr>
            </w:pPr>
            <w:r w:rsidRPr="008A39DA">
              <w:rPr>
                <w:b/>
              </w:rPr>
              <w:t>Output 2</w:t>
            </w:r>
          </w:p>
        </w:tc>
        <w:tc>
          <w:tcPr>
            <w:tcW w:w="1869" w:type="dxa"/>
          </w:tcPr>
          <w:p w:rsidR="00404448" w:rsidRPr="008A39DA" w:rsidRDefault="00404448" w:rsidP="00404448">
            <w:pPr>
              <w:rPr>
                <w:b/>
              </w:rPr>
            </w:pPr>
            <w:r w:rsidRPr="008A39DA">
              <w:rPr>
                <w:b/>
              </w:rPr>
              <w:t>Output 3</w:t>
            </w:r>
          </w:p>
        </w:tc>
        <w:tc>
          <w:tcPr>
            <w:tcW w:w="1869" w:type="dxa"/>
          </w:tcPr>
          <w:p w:rsidR="00404448" w:rsidRPr="008A39DA" w:rsidRDefault="00404448" w:rsidP="00404448">
            <w:pPr>
              <w:rPr>
                <w:b/>
              </w:rPr>
            </w:pPr>
            <w:r w:rsidRPr="008A39DA">
              <w:rPr>
                <w:b/>
              </w:rPr>
              <w:t>Output 4</w:t>
            </w:r>
          </w:p>
        </w:tc>
      </w:tr>
      <w:tr w:rsidR="00404448" w:rsidRPr="008A336E">
        <w:tc>
          <w:tcPr>
            <w:tcW w:w="1175" w:type="dxa"/>
            <w:shd w:val="clear" w:color="auto" w:fill="99CCFF"/>
          </w:tcPr>
          <w:p w:rsidR="00404448" w:rsidRPr="008A39DA" w:rsidRDefault="00404448" w:rsidP="00404448">
            <w:pPr>
              <w:rPr>
                <w:rFonts w:eastAsia="MS Mincho"/>
              </w:rPr>
            </w:pPr>
            <w:r w:rsidRPr="008A39DA">
              <w:rPr>
                <w:rFonts w:eastAsia="MS Mincho"/>
              </w:rPr>
              <w:t>2</w:t>
            </w:r>
          </w:p>
        </w:tc>
        <w:tc>
          <w:tcPr>
            <w:tcW w:w="1868" w:type="dxa"/>
            <w:shd w:val="clear" w:color="auto" w:fill="99CCFF"/>
          </w:tcPr>
          <w:p w:rsidR="00404448" w:rsidRPr="008A39DA" w:rsidRDefault="00404448" w:rsidP="00404448">
            <w:pPr>
              <w:rPr>
                <w:rFonts w:eastAsia="MS Mincho"/>
              </w:rPr>
            </w:pPr>
            <w:r w:rsidRPr="008A39DA">
              <w:rPr>
                <w:rFonts w:eastAsia="MS Mincho"/>
              </w:rPr>
              <w:t>0.9791</w:t>
            </w:r>
          </w:p>
        </w:tc>
        <w:tc>
          <w:tcPr>
            <w:tcW w:w="1869" w:type="dxa"/>
            <w:shd w:val="clear" w:color="auto" w:fill="99CCFF"/>
          </w:tcPr>
          <w:p w:rsidR="00404448" w:rsidRPr="008A39DA" w:rsidRDefault="00404448" w:rsidP="00404448">
            <w:pPr>
              <w:rPr>
                <w:rFonts w:eastAsia="MS Mincho"/>
              </w:rPr>
            </w:pPr>
            <w:r w:rsidRPr="008A39DA">
              <w:rPr>
                <w:rFonts w:eastAsia="MS Mincho"/>
              </w:rPr>
              <w:t>0.9601</w:t>
            </w:r>
          </w:p>
        </w:tc>
        <w:tc>
          <w:tcPr>
            <w:tcW w:w="1869" w:type="dxa"/>
            <w:shd w:val="clear" w:color="auto" w:fill="99CCFF"/>
          </w:tcPr>
          <w:p w:rsidR="00404448" w:rsidRPr="008A39DA" w:rsidRDefault="00404448" w:rsidP="00404448">
            <w:pPr>
              <w:rPr>
                <w:rFonts w:eastAsia="MS Mincho"/>
              </w:rPr>
            </w:pPr>
            <w:r w:rsidRPr="008A39DA">
              <w:rPr>
                <w:rFonts w:eastAsia="MS Mincho"/>
              </w:rPr>
              <w:t>0.9546</w:t>
            </w:r>
          </w:p>
        </w:tc>
        <w:tc>
          <w:tcPr>
            <w:tcW w:w="1869" w:type="dxa"/>
            <w:shd w:val="clear" w:color="auto" w:fill="99CCFF"/>
          </w:tcPr>
          <w:p w:rsidR="00404448" w:rsidRPr="008A39DA" w:rsidRDefault="00404448" w:rsidP="00404448">
            <w:pPr>
              <w:rPr>
                <w:rFonts w:eastAsia="MS Mincho"/>
              </w:rPr>
            </w:pPr>
            <w:r w:rsidRPr="008A39DA">
              <w:rPr>
                <w:rFonts w:eastAsia="MS Mincho"/>
              </w:rPr>
              <w:t>0.9419</w:t>
            </w:r>
          </w:p>
        </w:tc>
      </w:tr>
      <w:tr w:rsidR="00404448" w:rsidRPr="008A336E">
        <w:tc>
          <w:tcPr>
            <w:tcW w:w="1175" w:type="dxa"/>
            <w:shd w:val="clear" w:color="auto" w:fill="CC99FF"/>
          </w:tcPr>
          <w:p w:rsidR="00404448" w:rsidRPr="008A39DA" w:rsidRDefault="00404448" w:rsidP="00404448">
            <w:pPr>
              <w:rPr>
                <w:rFonts w:eastAsia="MS Mincho"/>
              </w:rPr>
            </w:pPr>
            <w:r w:rsidRPr="008A39DA">
              <w:rPr>
                <w:rFonts w:eastAsia="MS Mincho"/>
              </w:rPr>
              <w:t>3</w:t>
            </w:r>
          </w:p>
        </w:tc>
        <w:tc>
          <w:tcPr>
            <w:tcW w:w="1868" w:type="dxa"/>
            <w:shd w:val="clear" w:color="auto" w:fill="CC99FF"/>
          </w:tcPr>
          <w:p w:rsidR="00404448" w:rsidRPr="008A39DA" w:rsidRDefault="00404448" w:rsidP="00404448">
            <w:pPr>
              <w:rPr>
                <w:rFonts w:eastAsia="MS Mincho"/>
              </w:rPr>
            </w:pPr>
            <w:r w:rsidRPr="008A39DA">
              <w:rPr>
                <w:rFonts w:eastAsia="MS Mincho"/>
              </w:rPr>
              <w:t>0.9486</w:t>
            </w:r>
          </w:p>
        </w:tc>
        <w:tc>
          <w:tcPr>
            <w:tcW w:w="1869" w:type="dxa"/>
            <w:shd w:val="clear" w:color="auto" w:fill="CC99FF"/>
          </w:tcPr>
          <w:p w:rsidR="00404448" w:rsidRPr="008A39DA" w:rsidRDefault="00404448" w:rsidP="00404448">
            <w:pPr>
              <w:rPr>
                <w:rFonts w:eastAsia="MS Mincho"/>
              </w:rPr>
            </w:pPr>
            <w:r w:rsidRPr="008A39DA">
              <w:rPr>
                <w:rFonts w:eastAsia="MS Mincho"/>
              </w:rPr>
              <w:t>0.9268</w:t>
            </w:r>
          </w:p>
        </w:tc>
        <w:tc>
          <w:tcPr>
            <w:tcW w:w="1869" w:type="dxa"/>
            <w:shd w:val="clear" w:color="auto" w:fill="CC99FF"/>
          </w:tcPr>
          <w:p w:rsidR="00404448" w:rsidRPr="008A39DA" w:rsidRDefault="00404448" w:rsidP="00404448">
            <w:pPr>
              <w:rPr>
                <w:rFonts w:eastAsia="MS Mincho"/>
              </w:rPr>
            </w:pPr>
            <w:r w:rsidRPr="008A39DA">
              <w:rPr>
                <w:rFonts w:eastAsia="MS Mincho"/>
              </w:rPr>
              <w:t>0.9129</w:t>
            </w:r>
          </w:p>
        </w:tc>
        <w:tc>
          <w:tcPr>
            <w:tcW w:w="1869" w:type="dxa"/>
            <w:shd w:val="clear" w:color="auto" w:fill="CC99FF"/>
          </w:tcPr>
          <w:p w:rsidR="00404448" w:rsidRPr="008A39DA" w:rsidRDefault="00404448" w:rsidP="00404448">
            <w:pPr>
              <w:rPr>
                <w:rFonts w:eastAsia="MS Mincho"/>
              </w:rPr>
            </w:pPr>
            <w:r w:rsidRPr="008A39DA">
              <w:rPr>
                <w:rFonts w:eastAsia="MS Mincho"/>
              </w:rPr>
              <w:t>0.9058</w:t>
            </w:r>
          </w:p>
        </w:tc>
      </w:tr>
      <w:tr w:rsidR="00404448" w:rsidRPr="008A336E">
        <w:tc>
          <w:tcPr>
            <w:tcW w:w="1175" w:type="dxa"/>
            <w:shd w:val="clear" w:color="auto" w:fill="CCFFCC"/>
          </w:tcPr>
          <w:p w:rsidR="00404448" w:rsidRPr="008A39DA" w:rsidRDefault="00404448" w:rsidP="00404448">
            <w:pPr>
              <w:rPr>
                <w:rFonts w:eastAsia="MS Mincho"/>
              </w:rPr>
            </w:pPr>
            <w:r w:rsidRPr="008A39DA">
              <w:rPr>
                <w:rFonts w:eastAsia="MS Mincho"/>
              </w:rPr>
              <w:t>4</w:t>
            </w:r>
          </w:p>
        </w:tc>
        <w:tc>
          <w:tcPr>
            <w:tcW w:w="1868" w:type="dxa"/>
            <w:shd w:val="clear" w:color="auto" w:fill="CCFFCC"/>
          </w:tcPr>
          <w:p w:rsidR="00404448" w:rsidRPr="008A39DA" w:rsidRDefault="00404448" w:rsidP="00404448">
            <w:pPr>
              <w:rPr>
                <w:rFonts w:eastAsia="MS Mincho"/>
              </w:rPr>
            </w:pPr>
            <w:r w:rsidRPr="008A39DA">
              <w:rPr>
                <w:rFonts w:eastAsia="MS Mincho"/>
              </w:rPr>
              <w:t>0.9485</w:t>
            </w:r>
          </w:p>
        </w:tc>
        <w:tc>
          <w:tcPr>
            <w:tcW w:w="1869" w:type="dxa"/>
            <w:shd w:val="clear" w:color="auto" w:fill="CCFFCC"/>
          </w:tcPr>
          <w:p w:rsidR="00404448" w:rsidRPr="008A39DA" w:rsidRDefault="00404448" w:rsidP="00404448">
            <w:pPr>
              <w:rPr>
                <w:rFonts w:eastAsia="MS Mincho"/>
              </w:rPr>
            </w:pPr>
            <w:r w:rsidRPr="008A39DA">
              <w:rPr>
                <w:rFonts w:eastAsia="MS Mincho"/>
              </w:rPr>
              <w:t>0.9037</w:t>
            </w:r>
          </w:p>
        </w:tc>
        <w:tc>
          <w:tcPr>
            <w:tcW w:w="1869" w:type="dxa"/>
            <w:shd w:val="clear" w:color="auto" w:fill="CCFFCC"/>
          </w:tcPr>
          <w:p w:rsidR="00404448" w:rsidRPr="008A39DA" w:rsidRDefault="00404448" w:rsidP="00404448">
            <w:pPr>
              <w:rPr>
                <w:rFonts w:eastAsia="MS Mincho"/>
              </w:rPr>
            </w:pPr>
            <w:r w:rsidRPr="008A39DA">
              <w:rPr>
                <w:rFonts w:eastAsia="MS Mincho"/>
              </w:rPr>
              <w:t>0.9614</w:t>
            </w:r>
          </w:p>
        </w:tc>
        <w:tc>
          <w:tcPr>
            <w:tcW w:w="1869" w:type="dxa"/>
            <w:shd w:val="clear" w:color="auto" w:fill="CCFFCC"/>
          </w:tcPr>
          <w:p w:rsidR="00404448" w:rsidRPr="008A39DA" w:rsidRDefault="00404448" w:rsidP="00404448">
            <w:pPr>
              <w:rPr>
                <w:rFonts w:eastAsia="MS Mincho"/>
              </w:rPr>
            </w:pPr>
            <w:r w:rsidRPr="008A39DA">
              <w:rPr>
                <w:rFonts w:eastAsia="MS Mincho"/>
              </w:rPr>
              <w:t>0.8992</w:t>
            </w:r>
          </w:p>
        </w:tc>
      </w:tr>
      <w:tr w:rsidR="00404448" w:rsidRPr="008A336E">
        <w:tc>
          <w:tcPr>
            <w:tcW w:w="1175" w:type="dxa"/>
            <w:shd w:val="clear" w:color="auto" w:fill="FFFF99"/>
          </w:tcPr>
          <w:p w:rsidR="00404448" w:rsidRPr="008A39DA" w:rsidRDefault="00404448" w:rsidP="00404448">
            <w:pPr>
              <w:rPr>
                <w:rFonts w:eastAsia="MS Mincho"/>
              </w:rPr>
            </w:pPr>
            <w:r w:rsidRPr="008A39DA">
              <w:rPr>
                <w:rFonts w:eastAsia="MS Mincho"/>
              </w:rPr>
              <w:t>6</w:t>
            </w:r>
          </w:p>
        </w:tc>
        <w:tc>
          <w:tcPr>
            <w:tcW w:w="1868" w:type="dxa"/>
            <w:shd w:val="clear" w:color="auto" w:fill="FFFF99"/>
          </w:tcPr>
          <w:p w:rsidR="00404448" w:rsidRPr="008A39DA" w:rsidRDefault="00404448" w:rsidP="00404448">
            <w:pPr>
              <w:rPr>
                <w:rFonts w:eastAsia="MS Mincho"/>
              </w:rPr>
            </w:pPr>
            <w:r w:rsidRPr="008A39DA">
              <w:rPr>
                <w:rFonts w:eastAsia="MS Mincho"/>
              </w:rPr>
              <w:t>1.0520</w:t>
            </w:r>
          </w:p>
        </w:tc>
        <w:tc>
          <w:tcPr>
            <w:tcW w:w="1869" w:type="dxa"/>
            <w:shd w:val="clear" w:color="auto" w:fill="FFFF99"/>
          </w:tcPr>
          <w:p w:rsidR="00404448" w:rsidRPr="008A39DA" w:rsidRDefault="00404448" w:rsidP="00404448">
            <w:pPr>
              <w:rPr>
                <w:rFonts w:eastAsia="MS Mincho"/>
              </w:rPr>
            </w:pPr>
            <w:r w:rsidRPr="008A39DA">
              <w:rPr>
                <w:rFonts w:eastAsia="MS Mincho"/>
              </w:rPr>
              <w:t>1.0028</w:t>
            </w:r>
          </w:p>
        </w:tc>
        <w:tc>
          <w:tcPr>
            <w:tcW w:w="1869" w:type="dxa"/>
            <w:shd w:val="clear" w:color="auto" w:fill="FFFF99"/>
          </w:tcPr>
          <w:p w:rsidR="00404448" w:rsidRPr="008A39DA" w:rsidRDefault="00404448" w:rsidP="00404448">
            <w:pPr>
              <w:rPr>
                <w:rFonts w:eastAsia="MS Mincho"/>
              </w:rPr>
            </w:pPr>
            <w:r w:rsidRPr="008A39DA">
              <w:rPr>
                <w:rFonts w:eastAsia="MS Mincho"/>
              </w:rPr>
              <w:t>0.9499</w:t>
            </w:r>
          </w:p>
        </w:tc>
        <w:tc>
          <w:tcPr>
            <w:tcW w:w="1869" w:type="dxa"/>
            <w:shd w:val="clear" w:color="auto" w:fill="FFFF99"/>
          </w:tcPr>
          <w:p w:rsidR="00404448" w:rsidRPr="008A39DA" w:rsidRDefault="00404448" w:rsidP="00404448">
            <w:pPr>
              <w:rPr>
                <w:rFonts w:eastAsia="MS Mincho"/>
              </w:rPr>
            </w:pPr>
            <w:r w:rsidRPr="008A39DA">
              <w:rPr>
                <w:rFonts w:eastAsia="MS Mincho"/>
              </w:rPr>
              <w:t>0.9711</w:t>
            </w:r>
          </w:p>
        </w:tc>
      </w:tr>
      <w:tr w:rsidR="00404448" w:rsidRPr="008A336E">
        <w:tc>
          <w:tcPr>
            <w:tcW w:w="1175" w:type="dxa"/>
            <w:shd w:val="clear" w:color="auto" w:fill="99CCFF"/>
          </w:tcPr>
          <w:p w:rsidR="00404448" w:rsidRPr="008A39DA" w:rsidRDefault="00404448" w:rsidP="00404448">
            <w:pPr>
              <w:rPr>
                <w:rFonts w:eastAsia="MS Mincho"/>
              </w:rPr>
            </w:pPr>
            <w:r w:rsidRPr="008A39DA">
              <w:rPr>
                <w:rFonts w:eastAsia="MS Mincho"/>
              </w:rPr>
              <w:t>7</w:t>
            </w:r>
          </w:p>
        </w:tc>
        <w:tc>
          <w:tcPr>
            <w:tcW w:w="1868" w:type="dxa"/>
            <w:shd w:val="clear" w:color="auto" w:fill="99CCFF"/>
          </w:tcPr>
          <w:p w:rsidR="00404448" w:rsidRPr="008A39DA" w:rsidRDefault="00404448" w:rsidP="00404448">
            <w:pPr>
              <w:rPr>
                <w:rFonts w:eastAsia="MS Mincho"/>
              </w:rPr>
            </w:pPr>
            <w:r w:rsidRPr="008A39DA">
              <w:rPr>
                <w:rFonts w:eastAsia="MS Mincho"/>
              </w:rPr>
              <w:t>1.0113</w:t>
            </w:r>
          </w:p>
        </w:tc>
        <w:tc>
          <w:tcPr>
            <w:tcW w:w="1869" w:type="dxa"/>
            <w:shd w:val="clear" w:color="auto" w:fill="99CCFF"/>
          </w:tcPr>
          <w:p w:rsidR="00404448" w:rsidRPr="008A39DA" w:rsidRDefault="00404448" w:rsidP="00404448">
            <w:pPr>
              <w:rPr>
                <w:rFonts w:eastAsia="MS Mincho"/>
              </w:rPr>
            </w:pPr>
            <w:r w:rsidRPr="008A39DA">
              <w:rPr>
                <w:rFonts w:eastAsia="MS Mincho"/>
              </w:rPr>
              <w:t>0.9594</w:t>
            </w:r>
          </w:p>
        </w:tc>
        <w:tc>
          <w:tcPr>
            <w:tcW w:w="1869" w:type="dxa"/>
            <w:shd w:val="clear" w:color="auto" w:fill="99CCFF"/>
          </w:tcPr>
          <w:p w:rsidR="00404448" w:rsidRPr="008A39DA" w:rsidRDefault="00404448" w:rsidP="00404448">
            <w:pPr>
              <w:rPr>
                <w:rFonts w:eastAsia="MS Mincho"/>
              </w:rPr>
            </w:pPr>
            <w:r w:rsidRPr="008A39DA">
              <w:rPr>
                <w:rFonts w:eastAsia="MS Mincho"/>
              </w:rPr>
              <w:t>0.9971</w:t>
            </w:r>
          </w:p>
        </w:tc>
        <w:tc>
          <w:tcPr>
            <w:tcW w:w="1869" w:type="dxa"/>
            <w:shd w:val="clear" w:color="auto" w:fill="99CCFF"/>
          </w:tcPr>
          <w:p w:rsidR="00404448" w:rsidRPr="008A39DA" w:rsidRDefault="00404448" w:rsidP="00404448">
            <w:pPr>
              <w:rPr>
                <w:rFonts w:eastAsia="MS Mincho"/>
              </w:rPr>
            </w:pPr>
            <w:r w:rsidRPr="008A39DA">
              <w:rPr>
                <w:rFonts w:eastAsia="MS Mincho"/>
              </w:rPr>
              <w:t>0.9780</w:t>
            </w:r>
          </w:p>
        </w:tc>
      </w:tr>
      <w:tr w:rsidR="00404448" w:rsidRPr="008A336E">
        <w:tc>
          <w:tcPr>
            <w:tcW w:w="1175" w:type="dxa"/>
            <w:shd w:val="clear" w:color="auto" w:fill="CC99FF"/>
          </w:tcPr>
          <w:p w:rsidR="00404448" w:rsidRPr="008A39DA" w:rsidRDefault="00404448" w:rsidP="00404448">
            <w:pPr>
              <w:rPr>
                <w:rFonts w:eastAsia="MS Mincho"/>
              </w:rPr>
            </w:pPr>
            <w:r w:rsidRPr="008A39DA">
              <w:rPr>
                <w:rFonts w:eastAsia="MS Mincho"/>
              </w:rPr>
              <w:t>8</w:t>
            </w:r>
          </w:p>
        </w:tc>
        <w:tc>
          <w:tcPr>
            <w:tcW w:w="1868" w:type="dxa"/>
            <w:shd w:val="clear" w:color="auto" w:fill="CC99FF"/>
          </w:tcPr>
          <w:p w:rsidR="00404448" w:rsidRPr="008A39DA" w:rsidRDefault="00404448" w:rsidP="00404448">
            <w:pPr>
              <w:rPr>
                <w:rFonts w:eastAsia="MS Mincho"/>
              </w:rPr>
            </w:pPr>
            <w:r w:rsidRPr="008A39DA">
              <w:rPr>
                <w:rFonts w:eastAsia="MS Mincho"/>
              </w:rPr>
              <w:t>0.9541</w:t>
            </w:r>
          </w:p>
        </w:tc>
        <w:tc>
          <w:tcPr>
            <w:tcW w:w="1869" w:type="dxa"/>
            <w:shd w:val="clear" w:color="auto" w:fill="CC99FF"/>
          </w:tcPr>
          <w:p w:rsidR="00404448" w:rsidRPr="008A39DA" w:rsidRDefault="00404448" w:rsidP="00404448">
            <w:pPr>
              <w:rPr>
                <w:rFonts w:eastAsia="MS Mincho"/>
              </w:rPr>
            </w:pPr>
            <w:r w:rsidRPr="008A39DA">
              <w:rPr>
                <w:rFonts w:eastAsia="MS Mincho"/>
              </w:rPr>
              <w:t>0.9389</w:t>
            </w:r>
          </w:p>
        </w:tc>
        <w:tc>
          <w:tcPr>
            <w:tcW w:w="1869" w:type="dxa"/>
            <w:shd w:val="clear" w:color="auto" w:fill="CC99FF"/>
          </w:tcPr>
          <w:p w:rsidR="00404448" w:rsidRPr="008A39DA" w:rsidRDefault="00404448" w:rsidP="00404448">
            <w:pPr>
              <w:rPr>
                <w:rFonts w:eastAsia="MS Mincho"/>
              </w:rPr>
            </w:pPr>
            <w:r w:rsidRPr="008A39DA">
              <w:rPr>
                <w:rFonts w:eastAsia="MS Mincho"/>
              </w:rPr>
              <w:t>1.0320</w:t>
            </w:r>
          </w:p>
        </w:tc>
        <w:tc>
          <w:tcPr>
            <w:tcW w:w="1869" w:type="dxa"/>
            <w:shd w:val="clear" w:color="auto" w:fill="CC99FF"/>
          </w:tcPr>
          <w:p w:rsidR="00404448" w:rsidRPr="008A39DA" w:rsidRDefault="00404448" w:rsidP="00404448">
            <w:pPr>
              <w:rPr>
                <w:rFonts w:eastAsia="MS Mincho"/>
              </w:rPr>
            </w:pPr>
            <w:r w:rsidRPr="008A39DA">
              <w:rPr>
                <w:rFonts w:eastAsia="MS Mincho"/>
              </w:rPr>
              <w:t>0.9793</w:t>
            </w:r>
          </w:p>
        </w:tc>
      </w:tr>
      <w:tr w:rsidR="00404448" w:rsidRPr="008A336E">
        <w:tc>
          <w:tcPr>
            <w:tcW w:w="1175" w:type="dxa"/>
            <w:shd w:val="clear" w:color="auto" w:fill="CCFFCC"/>
          </w:tcPr>
          <w:p w:rsidR="00404448" w:rsidRPr="008A39DA" w:rsidRDefault="00404448" w:rsidP="00404448">
            <w:pPr>
              <w:rPr>
                <w:rFonts w:eastAsia="MS Mincho"/>
              </w:rPr>
            </w:pPr>
            <w:r w:rsidRPr="008A39DA">
              <w:rPr>
                <w:rFonts w:eastAsia="MS Mincho"/>
              </w:rPr>
              <w:t>9</w:t>
            </w:r>
          </w:p>
        </w:tc>
        <w:tc>
          <w:tcPr>
            <w:tcW w:w="1868" w:type="dxa"/>
            <w:shd w:val="clear" w:color="auto" w:fill="CCFFCC"/>
          </w:tcPr>
          <w:p w:rsidR="00404448" w:rsidRPr="008A39DA" w:rsidRDefault="00404448" w:rsidP="00404448">
            <w:pPr>
              <w:rPr>
                <w:rFonts w:eastAsia="MS Mincho"/>
              </w:rPr>
            </w:pPr>
            <w:r w:rsidRPr="008A39DA">
              <w:rPr>
                <w:rFonts w:eastAsia="MS Mincho"/>
              </w:rPr>
              <w:t>0.8581</w:t>
            </w:r>
          </w:p>
        </w:tc>
        <w:tc>
          <w:tcPr>
            <w:tcW w:w="1869" w:type="dxa"/>
            <w:shd w:val="clear" w:color="auto" w:fill="CCFFCC"/>
          </w:tcPr>
          <w:p w:rsidR="00404448" w:rsidRPr="008A39DA" w:rsidRDefault="00404448" w:rsidP="00404448">
            <w:pPr>
              <w:rPr>
                <w:rFonts w:eastAsia="MS Mincho"/>
              </w:rPr>
            </w:pPr>
            <w:r w:rsidRPr="008A39DA">
              <w:rPr>
                <w:rFonts w:eastAsia="MS Mincho"/>
              </w:rPr>
              <w:t>0.9343</w:t>
            </w:r>
          </w:p>
        </w:tc>
        <w:tc>
          <w:tcPr>
            <w:tcW w:w="1869" w:type="dxa"/>
            <w:shd w:val="clear" w:color="auto" w:fill="CCFFCC"/>
          </w:tcPr>
          <w:p w:rsidR="00404448" w:rsidRPr="008A39DA" w:rsidRDefault="00404448" w:rsidP="00404448">
            <w:pPr>
              <w:rPr>
                <w:rFonts w:eastAsia="MS Mincho"/>
              </w:rPr>
            </w:pPr>
            <w:r w:rsidRPr="008A39DA">
              <w:rPr>
                <w:rFonts w:eastAsia="MS Mincho"/>
              </w:rPr>
              <w:t>1.1300</w:t>
            </w:r>
          </w:p>
        </w:tc>
        <w:tc>
          <w:tcPr>
            <w:tcW w:w="1869" w:type="dxa"/>
            <w:shd w:val="clear" w:color="auto" w:fill="CCFFCC"/>
          </w:tcPr>
          <w:p w:rsidR="00404448" w:rsidRPr="008A39DA" w:rsidRDefault="00404448" w:rsidP="00404448">
            <w:pPr>
              <w:rPr>
                <w:rFonts w:eastAsia="MS Mincho"/>
              </w:rPr>
            </w:pPr>
            <w:r w:rsidRPr="008A39DA">
              <w:rPr>
                <w:rFonts w:eastAsia="MS Mincho"/>
              </w:rPr>
              <w:t>1.0098</w:t>
            </w:r>
          </w:p>
        </w:tc>
      </w:tr>
      <w:tr w:rsidR="00404448" w:rsidRPr="008A336E">
        <w:tc>
          <w:tcPr>
            <w:tcW w:w="1175" w:type="dxa"/>
            <w:shd w:val="clear" w:color="auto" w:fill="FF99CC"/>
          </w:tcPr>
          <w:p w:rsidR="00404448" w:rsidRPr="008A39DA" w:rsidRDefault="00404448" w:rsidP="00404448">
            <w:pPr>
              <w:rPr>
                <w:rFonts w:eastAsia="MS Mincho"/>
              </w:rPr>
            </w:pPr>
            <w:r w:rsidRPr="008A39DA">
              <w:rPr>
                <w:rFonts w:eastAsia="MS Mincho"/>
              </w:rPr>
              <w:t>10</w:t>
            </w:r>
          </w:p>
        </w:tc>
        <w:tc>
          <w:tcPr>
            <w:tcW w:w="1868" w:type="dxa"/>
            <w:shd w:val="clear" w:color="auto" w:fill="FF99CC"/>
          </w:tcPr>
          <w:p w:rsidR="00404448" w:rsidRPr="008A39DA" w:rsidRDefault="00404448" w:rsidP="00404448">
            <w:pPr>
              <w:rPr>
                <w:rFonts w:eastAsia="MS Mincho"/>
              </w:rPr>
            </w:pPr>
            <w:r w:rsidRPr="008A39DA">
              <w:rPr>
                <w:rFonts w:eastAsia="MS Mincho"/>
              </w:rPr>
              <w:t>0.9895</w:t>
            </w:r>
          </w:p>
        </w:tc>
        <w:tc>
          <w:tcPr>
            <w:tcW w:w="1869" w:type="dxa"/>
            <w:shd w:val="clear" w:color="auto" w:fill="FF99CC"/>
          </w:tcPr>
          <w:p w:rsidR="00404448" w:rsidRPr="008A39DA" w:rsidRDefault="00404448" w:rsidP="00404448">
            <w:pPr>
              <w:rPr>
                <w:rFonts w:eastAsia="MS Mincho"/>
              </w:rPr>
            </w:pPr>
            <w:r w:rsidRPr="008A39DA">
              <w:rPr>
                <w:rFonts w:eastAsia="MS Mincho"/>
              </w:rPr>
              <w:t>0.9192</w:t>
            </w:r>
          </w:p>
        </w:tc>
        <w:tc>
          <w:tcPr>
            <w:tcW w:w="1869" w:type="dxa"/>
            <w:shd w:val="clear" w:color="auto" w:fill="FF99CC"/>
          </w:tcPr>
          <w:p w:rsidR="00404448" w:rsidRPr="008A39DA" w:rsidRDefault="00404448" w:rsidP="00404448">
            <w:pPr>
              <w:rPr>
                <w:rFonts w:eastAsia="MS Mincho"/>
              </w:rPr>
            </w:pPr>
            <w:r w:rsidRPr="008A39DA">
              <w:rPr>
                <w:rFonts w:eastAsia="MS Mincho"/>
              </w:rPr>
              <w:t>1.0254</w:t>
            </w:r>
          </w:p>
        </w:tc>
        <w:tc>
          <w:tcPr>
            <w:tcW w:w="1869" w:type="dxa"/>
            <w:shd w:val="clear" w:color="auto" w:fill="FF99CC"/>
          </w:tcPr>
          <w:p w:rsidR="00404448" w:rsidRPr="008A39DA" w:rsidRDefault="00404448" w:rsidP="00404448">
            <w:pPr>
              <w:rPr>
                <w:rFonts w:eastAsia="MS Mincho"/>
              </w:rPr>
            </w:pPr>
            <w:r w:rsidRPr="008A39DA">
              <w:rPr>
                <w:rFonts w:eastAsia="MS Mincho"/>
              </w:rPr>
              <w:t>0.9732</w:t>
            </w:r>
          </w:p>
        </w:tc>
      </w:tr>
      <w:tr w:rsidR="00404448" w:rsidRPr="008A336E">
        <w:tc>
          <w:tcPr>
            <w:tcW w:w="1175" w:type="dxa"/>
            <w:shd w:val="clear" w:color="auto" w:fill="FFFF99"/>
          </w:tcPr>
          <w:p w:rsidR="00404448" w:rsidRPr="008A39DA" w:rsidRDefault="00404448" w:rsidP="00404448">
            <w:pPr>
              <w:rPr>
                <w:rFonts w:eastAsia="MS Mincho"/>
              </w:rPr>
            </w:pPr>
            <w:r w:rsidRPr="008A39DA">
              <w:rPr>
                <w:rFonts w:eastAsia="MS Mincho"/>
              </w:rPr>
              <w:t>11</w:t>
            </w:r>
          </w:p>
        </w:tc>
        <w:tc>
          <w:tcPr>
            <w:tcW w:w="1868" w:type="dxa"/>
            <w:shd w:val="clear" w:color="auto" w:fill="FFFF99"/>
          </w:tcPr>
          <w:p w:rsidR="00404448" w:rsidRPr="008A39DA" w:rsidRDefault="00404448" w:rsidP="00404448">
            <w:pPr>
              <w:rPr>
                <w:rFonts w:eastAsia="MS Mincho"/>
              </w:rPr>
            </w:pPr>
            <w:r w:rsidRPr="008A39DA">
              <w:rPr>
                <w:rFonts w:eastAsia="MS Mincho"/>
              </w:rPr>
              <w:t>0.8438</w:t>
            </w:r>
          </w:p>
        </w:tc>
        <w:tc>
          <w:tcPr>
            <w:tcW w:w="1869" w:type="dxa"/>
            <w:shd w:val="clear" w:color="auto" w:fill="FFFF99"/>
          </w:tcPr>
          <w:p w:rsidR="00404448" w:rsidRPr="008A39DA" w:rsidRDefault="00404448" w:rsidP="00404448">
            <w:pPr>
              <w:rPr>
                <w:rFonts w:eastAsia="MS Mincho"/>
              </w:rPr>
            </w:pPr>
            <w:r w:rsidRPr="008A39DA">
              <w:rPr>
                <w:rFonts w:eastAsia="MS Mincho"/>
              </w:rPr>
              <w:t>0.8601</w:t>
            </w:r>
          </w:p>
        </w:tc>
        <w:tc>
          <w:tcPr>
            <w:tcW w:w="1869" w:type="dxa"/>
            <w:shd w:val="clear" w:color="auto" w:fill="FFFF99"/>
          </w:tcPr>
          <w:p w:rsidR="00404448" w:rsidRPr="008A39DA" w:rsidRDefault="00404448" w:rsidP="00404448">
            <w:pPr>
              <w:rPr>
                <w:rFonts w:eastAsia="MS Mincho"/>
              </w:rPr>
            </w:pPr>
            <w:r w:rsidRPr="008A39DA">
              <w:rPr>
                <w:rFonts w:eastAsia="MS Mincho"/>
              </w:rPr>
              <w:t>0.8386</w:t>
            </w:r>
          </w:p>
        </w:tc>
        <w:tc>
          <w:tcPr>
            <w:tcW w:w="1869" w:type="dxa"/>
            <w:shd w:val="clear" w:color="auto" w:fill="FFFF99"/>
          </w:tcPr>
          <w:p w:rsidR="00404448" w:rsidRPr="008A39DA" w:rsidRDefault="00404448" w:rsidP="00404448">
            <w:pPr>
              <w:rPr>
                <w:rFonts w:eastAsia="MS Mincho"/>
              </w:rPr>
            </w:pPr>
            <w:r w:rsidRPr="008A39DA">
              <w:rPr>
                <w:rFonts w:eastAsia="MS Mincho"/>
              </w:rPr>
              <w:t>0.8699</w:t>
            </w:r>
          </w:p>
        </w:tc>
      </w:tr>
      <w:tr w:rsidR="00404448" w:rsidRPr="008A336E">
        <w:tc>
          <w:tcPr>
            <w:tcW w:w="1175" w:type="dxa"/>
            <w:shd w:val="clear" w:color="auto" w:fill="99CCFF"/>
          </w:tcPr>
          <w:p w:rsidR="00404448" w:rsidRPr="008A39DA" w:rsidRDefault="00404448" w:rsidP="00404448">
            <w:pPr>
              <w:rPr>
                <w:rFonts w:eastAsia="MS Mincho"/>
              </w:rPr>
            </w:pPr>
            <w:r w:rsidRPr="008A39DA">
              <w:rPr>
                <w:rFonts w:eastAsia="MS Mincho"/>
              </w:rPr>
              <w:t>12</w:t>
            </w:r>
          </w:p>
        </w:tc>
        <w:tc>
          <w:tcPr>
            <w:tcW w:w="1868" w:type="dxa"/>
            <w:shd w:val="clear" w:color="auto" w:fill="99CCFF"/>
          </w:tcPr>
          <w:p w:rsidR="00404448" w:rsidRPr="008A39DA" w:rsidRDefault="00404448" w:rsidP="00404448">
            <w:pPr>
              <w:rPr>
                <w:rFonts w:eastAsia="MS Mincho"/>
              </w:rPr>
            </w:pPr>
            <w:r w:rsidRPr="008A39DA">
              <w:rPr>
                <w:rFonts w:eastAsia="MS Mincho"/>
              </w:rPr>
              <w:t>1.0198</w:t>
            </w:r>
          </w:p>
        </w:tc>
        <w:tc>
          <w:tcPr>
            <w:tcW w:w="1869" w:type="dxa"/>
            <w:shd w:val="clear" w:color="auto" w:fill="99CCFF"/>
          </w:tcPr>
          <w:p w:rsidR="00404448" w:rsidRPr="008A39DA" w:rsidRDefault="00404448" w:rsidP="00404448">
            <w:pPr>
              <w:rPr>
                <w:rFonts w:eastAsia="MS Mincho"/>
              </w:rPr>
            </w:pPr>
            <w:r w:rsidRPr="008A39DA">
              <w:rPr>
                <w:rFonts w:eastAsia="MS Mincho"/>
              </w:rPr>
              <w:t>0.9713</w:t>
            </w:r>
          </w:p>
        </w:tc>
        <w:tc>
          <w:tcPr>
            <w:tcW w:w="1869" w:type="dxa"/>
            <w:shd w:val="clear" w:color="auto" w:fill="99CCFF"/>
          </w:tcPr>
          <w:p w:rsidR="00404448" w:rsidRPr="008A39DA" w:rsidRDefault="00404448" w:rsidP="00404448">
            <w:pPr>
              <w:rPr>
                <w:rFonts w:eastAsia="MS Mincho"/>
              </w:rPr>
            </w:pPr>
            <w:r w:rsidRPr="008A39DA">
              <w:rPr>
                <w:rFonts w:eastAsia="MS Mincho"/>
              </w:rPr>
              <w:t>0.9848</w:t>
            </w:r>
          </w:p>
        </w:tc>
        <w:tc>
          <w:tcPr>
            <w:tcW w:w="1869" w:type="dxa"/>
            <w:shd w:val="clear" w:color="auto" w:fill="99CCFF"/>
          </w:tcPr>
          <w:p w:rsidR="00404448" w:rsidRPr="008A39DA" w:rsidRDefault="00404448" w:rsidP="00404448">
            <w:pPr>
              <w:rPr>
                <w:rFonts w:eastAsia="MS Mincho"/>
              </w:rPr>
            </w:pPr>
            <w:r w:rsidRPr="008A39DA">
              <w:rPr>
                <w:rFonts w:eastAsia="MS Mincho"/>
              </w:rPr>
              <w:t>1.0141</w:t>
            </w:r>
          </w:p>
        </w:tc>
      </w:tr>
      <w:tr w:rsidR="00404448" w:rsidRPr="008A336E">
        <w:tc>
          <w:tcPr>
            <w:tcW w:w="1175" w:type="dxa"/>
            <w:shd w:val="clear" w:color="auto" w:fill="CC99FF"/>
          </w:tcPr>
          <w:p w:rsidR="00404448" w:rsidRPr="008A39DA" w:rsidRDefault="00404448" w:rsidP="00404448">
            <w:pPr>
              <w:rPr>
                <w:rFonts w:eastAsia="MS Mincho"/>
              </w:rPr>
            </w:pPr>
            <w:r w:rsidRPr="008A39DA">
              <w:rPr>
                <w:rFonts w:eastAsia="MS Mincho"/>
              </w:rPr>
              <w:t>13</w:t>
            </w:r>
          </w:p>
        </w:tc>
        <w:tc>
          <w:tcPr>
            <w:tcW w:w="1868" w:type="dxa"/>
            <w:shd w:val="clear" w:color="auto" w:fill="CC99FF"/>
          </w:tcPr>
          <w:p w:rsidR="00404448" w:rsidRPr="008A39DA" w:rsidRDefault="00404448" w:rsidP="00404448">
            <w:pPr>
              <w:rPr>
                <w:rFonts w:eastAsia="MS Mincho"/>
              </w:rPr>
            </w:pPr>
            <w:r w:rsidRPr="008A39DA">
              <w:rPr>
                <w:rFonts w:eastAsia="MS Mincho"/>
              </w:rPr>
              <w:t>0.9238</w:t>
            </w:r>
          </w:p>
        </w:tc>
        <w:tc>
          <w:tcPr>
            <w:tcW w:w="1869" w:type="dxa"/>
            <w:shd w:val="clear" w:color="auto" w:fill="CC99FF"/>
          </w:tcPr>
          <w:p w:rsidR="00404448" w:rsidRPr="008A39DA" w:rsidRDefault="00404448" w:rsidP="00404448">
            <w:pPr>
              <w:rPr>
                <w:rFonts w:eastAsia="MS Mincho"/>
              </w:rPr>
            </w:pPr>
            <w:r w:rsidRPr="008A39DA">
              <w:rPr>
                <w:rFonts w:eastAsia="MS Mincho"/>
              </w:rPr>
              <w:t>0.8961</w:t>
            </w:r>
          </w:p>
        </w:tc>
        <w:tc>
          <w:tcPr>
            <w:tcW w:w="1869" w:type="dxa"/>
            <w:shd w:val="clear" w:color="auto" w:fill="CC99FF"/>
          </w:tcPr>
          <w:p w:rsidR="00404448" w:rsidRPr="008A39DA" w:rsidRDefault="00404448" w:rsidP="00404448">
            <w:pPr>
              <w:rPr>
                <w:rFonts w:eastAsia="MS Mincho"/>
              </w:rPr>
            </w:pPr>
            <w:r w:rsidRPr="008A39DA">
              <w:rPr>
                <w:rFonts w:eastAsia="MS Mincho"/>
              </w:rPr>
              <w:t>0.9572</w:t>
            </w:r>
          </w:p>
        </w:tc>
        <w:tc>
          <w:tcPr>
            <w:tcW w:w="1869" w:type="dxa"/>
            <w:shd w:val="clear" w:color="auto" w:fill="CC99FF"/>
          </w:tcPr>
          <w:p w:rsidR="00404448" w:rsidRPr="008A39DA" w:rsidRDefault="00404448" w:rsidP="00404448">
            <w:pPr>
              <w:rPr>
                <w:rFonts w:eastAsia="MS Mincho"/>
              </w:rPr>
            </w:pPr>
            <w:r w:rsidRPr="008A39DA">
              <w:rPr>
                <w:rFonts w:eastAsia="MS Mincho"/>
              </w:rPr>
              <w:t>0.8769</w:t>
            </w:r>
          </w:p>
        </w:tc>
      </w:tr>
      <w:tr w:rsidR="00404448" w:rsidRPr="008A336E">
        <w:tc>
          <w:tcPr>
            <w:tcW w:w="1175" w:type="dxa"/>
            <w:shd w:val="clear" w:color="auto" w:fill="CCFFCC"/>
          </w:tcPr>
          <w:p w:rsidR="00404448" w:rsidRPr="008A39DA" w:rsidRDefault="00404448" w:rsidP="00404448">
            <w:pPr>
              <w:rPr>
                <w:rFonts w:eastAsia="MS Mincho"/>
              </w:rPr>
            </w:pPr>
            <w:r w:rsidRPr="008A39DA">
              <w:rPr>
                <w:rFonts w:eastAsia="MS Mincho"/>
              </w:rPr>
              <w:t>14</w:t>
            </w:r>
          </w:p>
        </w:tc>
        <w:tc>
          <w:tcPr>
            <w:tcW w:w="1868" w:type="dxa"/>
            <w:shd w:val="clear" w:color="auto" w:fill="CCFFCC"/>
          </w:tcPr>
          <w:p w:rsidR="00404448" w:rsidRPr="008A39DA" w:rsidRDefault="00404448" w:rsidP="00404448">
            <w:pPr>
              <w:rPr>
                <w:rFonts w:eastAsia="MS Mincho"/>
              </w:rPr>
            </w:pPr>
            <w:r w:rsidRPr="008A39DA">
              <w:rPr>
                <w:rFonts w:eastAsia="MS Mincho"/>
              </w:rPr>
              <w:t>1.0047</w:t>
            </w:r>
          </w:p>
        </w:tc>
        <w:tc>
          <w:tcPr>
            <w:tcW w:w="1869" w:type="dxa"/>
            <w:shd w:val="clear" w:color="auto" w:fill="CCFFCC"/>
          </w:tcPr>
          <w:p w:rsidR="00404448" w:rsidRPr="008A39DA" w:rsidRDefault="00404448" w:rsidP="00404448">
            <w:pPr>
              <w:rPr>
                <w:rFonts w:eastAsia="MS Mincho"/>
              </w:rPr>
            </w:pPr>
            <w:r w:rsidRPr="008A39DA">
              <w:rPr>
                <w:rFonts w:eastAsia="MS Mincho"/>
              </w:rPr>
              <w:t>1.0477</w:t>
            </w:r>
          </w:p>
        </w:tc>
        <w:tc>
          <w:tcPr>
            <w:tcW w:w="1869" w:type="dxa"/>
            <w:shd w:val="clear" w:color="auto" w:fill="CCFFCC"/>
          </w:tcPr>
          <w:p w:rsidR="00404448" w:rsidRPr="008A39DA" w:rsidRDefault="00404448" w:rsidP="00404448">
            <w:pPr>
              <w:rPr>
                <w:rFonts w:eastAsia="MS Mincho"/>
              </w:rPr>
            </w:pPr>
            <w:r w:rsidRPr="008A39DA">
              <w:rPr>
                <w:rFonts w:eastAsia="MS Mincho"/>
              </w:rPr>
              <w:t>0.9357</w:t>
            </w:r>
          </w:p>
        </w:tc>
        <w:tc>
          <w:tcPr>
            <w:tcW w:w="1869" w:type="dxa"/>
            <w:shd w:val="clear" w:color="auto" w:fill="CCFFCC"/>
          </w:tcPr>
          <w:p w:rsidR="00404448" w:rsidRPr="008A39DA" w:rsidRDefault="00404448" w:rsidP="00404448">
            <w:pPr>
              <w:rPr>
                <w:rFonts w:eastAsia="MS Mincho"/>
              </w:rPr>
            </w:pPr>
            <w:r w:rsidRPr="008A39DA">
              <w:rPr>
                <w:rFonts w:eastAsia="MS Mincho"/>
              </w:rPr>
              <w:t>0.9604</w:t>
            </w:r>
          </w:p>
        </w:tc>
      </w:tr>
      <w:tr w:rsidR="00404448" w:rsidRPr="008A336E">
        <w:tc>
          <w:tcPr>
            <w:tcW w:w="1175" w:type="dxa"/>
            <w:shd w:val="clear" w:color="auto" w:fill="FF99CC"/>
          </w:tcPr>
          <w:p w:rsidR="00404448" w:rsidRPr="008A39DA" w:rsidRDefault="00404448" w:rsidP="00404448">
            <w:pPr>
              <w:rPr>
                <w:rFonts w:eastAsia="MS Mincho"/>
              </w:rPr>
            </w:pPr>
            <w:r w:rsidRPr="008A39DA">
              <w:rPr>
                <w:rFonts w:eastAsia="MS Mincho"/>
              </w:rPr>
              <w:t>15</w:t>
            </w:r>
          </w:p>
        </w:tc>
        <w:tc>
          <w:tcPr>
            <w:tcW w:w="1868" w:type="dxa"/>
            <w:shd w:val="clear" w:color="auto" w:fill="FF99CC"/>
          </w:tcPr>
          <w:p w:rsidR="00404448" w:rsidRPr="008A39DA" w:rsidRDefault="00404448" w:rsidP="00404448">
            <w:pPr>
              <w:rPr>
                <w:rFonts w:eastAsia="MS Mincho"/>
              </w:rPr>
            </w:pPr>
            <w:r w:rsidRPr="008A39DA">
              <w:rPr>
                <w:rFonts w:eastAsia="MS Mincho"/>
              </w:rPr>
              <w:t>0.8228</w:t>
            </w:r>
          </w:p>
        </w:tc>
        <w:tc>
          <w:tcPr>
            <w:tcW w:w="1869" w:type="dxa"/>
            <w:shd w:val="clear" w:color="auto" w:fill="FF99CC"/>
          </w:tcPr>
          <w:p w:rsidR="00404448" w:rsidRPr="008A39DA" w:rsidRDefault="00404448" w:rsidP="00404448">
            <w:pPr>
              <w:rPr>
                <w:rFonts w:eastAsia="MS Mincho"/>
              </w:rPr>
            </w:pPr>
            <w:r w:rsidRPr="008A39DA">
              <w:rPr>
                <w:rFonts w:eastAsia="MS Mincho"/>
              </w:rPr>
              <w:t>0.8504</w:t>
            </w:r>
          </w:p>
        </w:tc>
        <w:tc>
          <w:tcPr>
            <w:tcW w:w="1869" w:type="dxa"/>
            <w:shd w:val="clear" w:color="auto" w:fill="FF99CC"/>
          </w:tcPr>
          <w:p w:rsidR="00404448" w:rsidRPr="008A39DA" w:rsidRDefault="00404448" w:rsidP="00404448">
            <w:pPr>
              <w:rPr>
                <w:rFonts w:eastAsia="MS Mincho"/>
              </w:rPr>
            </w:pPr>
            <w:r w:rsidRPr="008A39DA">
              <w:rPr>
                <w:rFonts w:eastAsia="MS Mincho"/>
              </w:rPr>
              <w:t>0.9429</w:t>
            </w:r>
          </w:p>
        </w:tc>
        <w:tc>
          <w:tcPr>
            <w:tcW w:w="1869" w:type="dxa"/>
            <w:shd w:val="clear" w:color="auto" w:fill="FF99CC"/>
          </w:tcPr>
          <w:p w:rsidR="00404448" w:rsidRPr="008A39DA" w:rsidRDefault="00404448" w:rsidP="00404448">
            <w:pPr>
              <w:rPr>
                <w:rFonts w:eastAsia="MS Mincho"/>
              </w:rPr>
            </w:pPr>
            <w:r w:rsidRPr="008A39DA">
              <w:rPr>
                <w:rFonts w:eastAsia="MS Mincho"/>
              </w:rPr>
              <w:t>0.9141</w:t>
            </w:r>
          </w:p>
        </w:tc>
      </w:tr>
      <w:tr w:rsidR="00404448" w:rsidRPr="008A336E">
        <w:tc>
          <w:tcPr>
            <w:tcW w:w="1175" w:type="dxa"/>
            <w:shd w:val="clear" w:color="auto" w:fill="FFFF99"/>
          </w:tcPr>
          <w:p w:rsidR="00404448" w:rsidRPr="008A39DA" w:rsidRDefault="00404448" w:rsidP="00404448">
            <w:pPr>
              <w:rPr>
                <w:rFonts w:eastAsia="MS Mincho"/>
              </w:rPr>
            </w:pPr>
            <w:r w:rsidRPr="008A39DA">
              <w:rPr>
                <w:rFonts w:eastAsia="MS Mincho"/>
              </w:rPr>
              <w:t>16</w:t>
            </w:r>
          </w:p>
        </w:tc>
        <w:tc>
          <w:tcPr>
            <w:tcW w:w="1868" w:type="dxa"/>
            <w:shd w:val="clear" w:color="auto" w:fill="FFFF99"/>
          </w:tcPr>
          <w:p w:rsidR="00404448" w:rsidRPr="008A39DA" w:rsidRDefault="00404448" w:rsidP="00404448">
            <w:pPr>
              <w:rPr>
                <w:rFonts w:eastAsia="MS Mincho"/>
              </w:rPr>
            </w:pPr>
            <w:r w:rsidRPr="008A39DA">
              <w:rPr>
                <w:rFonts w:eastAsia="MS Mincho"/>
              </w:rPr>
              <w:t>1.1183</w:t>
            </w:r>
          </w:p>
        </w:tc>
        <w:tc>
          <w:tcPr>
            <w:tcW w:w="1869" w:type="dxa"/>
            <w:shd w:val="clear" w:color="auto" w:fill="FFFF99"/>
          </w:tcPr>
          <w:p w:rsidR="00404448" w:rsidRPr="008A39DA" w:rsidRDefault="00404448" w:rsidP="00404448">
            <w:pPr>
              <w:rPr>
                <w:rFonts w:eastAsia="MS Mincho"/>
              </w:rPr>
            </w:pPr>
            <w:r w:rsidRPr="008A39DA">
              <w:rPr>
                <w:rFonts w:eastAsia="MS Mincho"/>
              </w:rPr>
              <w:t>1.1144</w:t>
            </w:r>
          </w:p>
        </w:tc>
        <w:tc>
          <w:tcPr>
            <w:tcW w:w="1869" w:type="dxa"/>
            <w:shd w:val="clear" w:color="auto" w:fill="FFFF99"/>
          </w:tcPr>
          <w:p w:rsidR="00404448" w:rsidRPr="008A39DA" w:rsidRDefault="00404448" w:rsidP="00404448">
            <w:pPr>
              <w:rPr>
                <w:rFonts w:eastAsia="MS Mincho"/>
              </w:rPr>
            </w:pPr>
            <w:r w:rsidRPr="008A39DA">
              <w:rPr>
                <w:rFonts w:eastAsia="MS Mincho"/>
              </w:rPr>
              <w:t>0.9657</w:t>
            </w:r>
          </w:p>
        </w:tc>
        <w:tc>
          <w:tcPr>
            <w:tcW w:w="1869" w:type="dxa"/>
            <w:shd w:val="clear" w:color="auto" w:fill="FFFF99"/>
          </w:tcPr>
          <w:p w:rsidR="00404448" w:rsidRPr="008A39DA" w:rsidRDefault="00404448" w:rsidP="00404448">
            <w:pPr>
              <w:rPr>
                <w:rFonts w:eastAsia="MS Mincho"/>
              </w:rPr>
            </w:pPr>
            <w:r w:rsidRPr="008A39DA">
              <w:rPr>
                <w:rFonts w:eastAsia="MS Mincho"/>
              </w:rPr>
              <w:t>0.9617</w:t>
            </w:r>
          </w:p>
        </w:tc>
      </w:tr>
      <w:tr w:rsidR="00404448" w:rsidRPr="008A336E">
        <w:tc>
          <w:tcPr>
            <w:tcW w:w="1175" w:type="dxa"/>
            <w:shd w:val="clear" w:color="auto" w:fill="99CCFF"/>
          </w:tcPr>
          <w:p w:rsidR="00404448" w:rsidRPr="008A39DA" w:rsidRDefault="00404448" w:rsidP="00404448">
            <w:pPr>
              <w:rPr>
                <w:rFonts w:eastAsia="MS Mincho"/>
              </w:rPr>
            </w:pPr>
            <w:r w:rsidRPr="008A39DA">
              <w:rPr>
                <w:rFonts w:eastAsia="MS Mincho"/>
              </w:rPr>
              <w:t>17</w:t>
            </w:r>
          </w:p>
        </w:tc>
        <w:tc>
          <w:tcPr>
            <w:tcW w:w="1868" w:type="dxa"/>
            <w:shd w:val="clear" w:color="auto" w:fill="99CCFF"/>
          </w:tcPr>
          <w:p w:rsidR="00404448" w:rsidRPr="008A39DA" w:rsidRDefault="00404448" w:rsidP="00404448">
            <w:pPr>
              <w:rPr>
                <w:rFonts w:eastAsia="MS Mincho"/>
              </w:rPr>
            </w:pPr>
            <w:r w:rsidRPr="008A39DA">
              <w:rPr>
                <w:rFonts w:eastAsia="MS Mincho"/>
              </w:rPr>
              <w:t>1.0304</w:t>
            </w:r>
          </w:p>
        </w:tc>
        <w:tc>
          <w:tcPr>
            <w:tcW w:w="1869" w:type="dxa"/>
            <w:shd w:val="clear" w:color="auto" w:fill="99CCFF"/>
          </w:tcPr>
          <w:p w:rsidR="00404448" w:rsidRPr="008A39DA" w:rsidRDefault="00404448" w:rsidP="00404448">
            <w:pPr>
              <w:rPr>
                <w:rFonts w:eastAsia="MS Mincho"/>
              </w:rPr>
            </w:pPr>
            <w:r w:rsidRPr="008A39DA">
              <w:rPr>
                <w:rFonts w:eastAsia="MS Mincho"/>
              </w:rPr>
              <w:t>0.9861</w:t>
            </w:r>
          </w:p>
        </w:tc>
        <w:tc>
          <w:tcPr>
            <w:tcW w:w="1869" w:type="dxa"/>
            <w:shd w:val="clear" w:color="auto" w:fill="99CCFF"/>
          </w:tcPr>
          <w:p w:rsidR="00404448" w:rsidRPr="008A39DA" w:rsidRDefault="00404448" w:rsidP="00404448">
            <w:pPr>
              <w:rPr>
                <w:rFonts w:eastAsia="MS Mincho"/>
              </w:rPr>
            </w:pPr>
            <w:r w:rsidRPr="008A39DA">
              <w:rPr>
                <w:rFonts w:eastAsia="MS Mincho"/>
              </w:rPr>
              <w:t>1.1127</w:t>
            </w:r>
          </w:p>
        </w:tc>
        <w:tc>
          <w:tcPr>
            <w:tcW w:w="1869" w:type="dxa"/>
            <w:shd w:val="clear" w:color="auto" w:fill="99CCFF"/>
          </w:tcPr>
          <w:p w:rsidR="00404448" w:rsidRPr="008A39DA" w:rsidRDefault="00404448" w:rsidP="00404448">
            <w:pPr>
              <w:rPr>
                <w:rFonts w:eastAsia="MS Mincho"/>
              </w:rPr>
            </w:pPr>
            <w:r w:rsidRPr="008A39DA">
              <w:rPr>
                <w:rFonts w:eastAsia="MS Mincho"/>
              </w:rPr>
              <w:t>1.2041</w:t>
            </w:r>
          </w:p>
        </w:tc>
      </w:tr>
      <w:tr w:rsidR="00404448" w:rsidRPr="008A336E">
        <w:tc>
          <w:tcPr>
            <w:tcW w:w="1175" w:type="dxa"/>
            <w:shd w:val="clear" w:color="auto" w:fill="CC99FF"/>
          </w:tcPr>
          <w:p w:rsidR="00404448" w:rsidRPr="008A39DA" w:rsidRDefault="00404448" w:rsidP="00404448">
            <w:pPr>
              <w:rPr>
                <w:rFonts w:eastAsia="MS Mincho"/>
              </w:rPr>
            </w:pPr>
            <w:r w:rsidRPr="008A39DA">
              <w:rPr>
                <w:rFonts w:eastAsia="MS Mincho"/>
              </w:rPr>
              <w:t>18</w:t>
            </w:r>
          </w:p>
        </w:tc>
        <w:tc>
          <w:tcPr>
            <w:tcW w:w="1868" w:type="dxa"/>
            <w:shd w:val="clear" w:color="auto" w:fill="CC99FF"/>
          </w:tcPr>
          <w:p w:rsidR="00404448" w:rsidRPr="008A39DA" w:rsidRDefault="00404448" w:rsidP="00404448">
            <w:pPr>
              <w:rPr>
                <w:rFonts w:eastAsia="MS Mincho"/>
              </w:rPr>
            </w:pPr>
            <w:r w:rsidRPr="008A39DA">
              <w:rPr>
                <w:rFonts w:eastAsia="MS Mincho"/>
              </w:rPr>
              <w:t>0.9367</w:t>
            </w:r>
          </w:p>
        </w:tc>
        <w:tc>
          <w:tcPr>
            <w:tcW w:w="1869" w:type="dxa"/>
            <w:shd w:val="clear" w:color="auto" w:fill="CC99FF"/>
          </w:tcPr>
          <w:p w:rsidR="00404448" w:rsidRPr="008A39DA" w:rsidRDefault="00404448" w:rsidP="00404448">
            <w:pPr>
              <w:rPr>
                <w:rFonts w:eastAsia="MS Mincho"/>
              </w:rPr>
            </w:pPr>
            <w:r w:rsidRPr="008A39DA">
              <w:rPr>
                <w:rFonts w:eastAsia="MS Mincho"/>
              </w:rPr>
              <w:t>1.0050</w:t>
            </w:r>
          </w:p>
        </w:tc>
        <w:tc>
          <w:tcPr>
            <w:tcW w:w="1869" w:type="dxa"/>
            <w:shd w:val="clear" w:color="auto" w:fill="CC99FF"/>
          </w:tcPr>
          <w:p w:rsidR="00404448" w:rsidRPr="008A39DA" w:rsidRDefault="00404448" w:rsidP="00404448">
            <w:pPr>
              <w:rPr>
                <w:rFonts w:eastAsia="MS Mincho"/>
              </w:rPr>
            </w:pPr>
            <w:r w:rsidRPr="008A39DA">
              <w:rPr>
                <w:rFonts w:eastAsia="MS Mincho"/>
              </w:rPr>
              <w:t>1.0034</w:t>
            </w:r>
          </w:p>
        </w:tc>
        <w:tc>
          <w:tcPr>
            <w:tcW w:w="1869" w:type="dxa"/>
            <w:shd w:val="clear" w:color="auto" w:fill="CC99FF"/>
          </w:tcPr>
          <w:p w:rsidR="00404448" w:rsidRPr="008A39DA" w:rsidRDefault="00404448" w:rsidP="00404448">
            <w:pPr>
              <w:rPr>
                <w:rFonts w:eastAsia="MS Mincho"/>
              </w:rPr>
            </w:pPr>
            <w:r w:rsidRPr="008A39DA">
              <w:rPr>
                <w:rFonts w:eastAsia="MS Mincho"/>
              </w:rPr>
              <w:t>1.0018</w:t>
            </w:r>
          </w:p>
        </w:tc>
      </w:tr>
      <w:tr w:rsidR="00404448" w:rsidRPr="008A336E">
        <w:tc>
          <w:tcPr>
            <w:tcW w:w="1175" w:type="dxa"/>
            <w:shd w:val="clear" w:color="auto" w:fill="CCFFCC"/>
          </w:tcPr>
          <w:p w:rsidR="00404448" w:rsidRPr="008A39DA" w:rsidRDefault="00404448" w:rsidP="00404448">
            <w:pPr>
              <w:rPr>
                <w:rFonts w:eastAsia="MS Mincho"/>
              </w:rPr>
            </w:pPr>
            <w:r w:rsidRPr="008A39DA">
              <w:rPr>
                <w:rFonts w:eastAsia="MS Mincho"/>
              </w:rPr>
              <w:t>19</w:t>
            </w:r>
          </w:p>
        </w:tc>
        <w:tc>
          <w:tcPr>
            <w:tcW w:w="1868" w:type="dxa"/>
            <w:shd w:val="clear" w:color="auto" w:fill="CCFFCC"/>
          </w:tcPr>
          <w:p w:rsidR="00404448" w:rsidRPr="008A39DA" w:rsidRDefault="00404448" w:rsidP="00404448">
            <w:pPr>
              <w:rPr>
                <w:rFonts w:eastAsia="MS Mincho"/>
              </w:rPr>
            </w:pPr>
            <w:r w:rsidRPr="008A39DA">
              <w:rPr>
                <w:rFonts w:eastAsia="MS Mincho"/>
              </w:rPr>
              <w:t>1.0856</w:t>
            </w:r>
          </w:p>
        </w:tc>
        <w:tc>
          <w:tcPr>
            <w:tcW w:w="1869" w:type="dxa"/>
            <w:shd w:val="clear" w:color="auto" w:fill="CCFFCC"/>
          </w:tcPr>
          <w:p w:rsidR="00404448" w:rsidRPr="008A39DA" w:rsidRDefault="00404448" w:rsidP="00404448">
            <w:pPr>
              <w:rPr>
                <w:rFonts w:eastAsia="MS Mincho"/>
              </w:rPr>
            </w:pPr>
            <w:r w:rsidRPr="008A39DA">
              <w:rPr>
                <w:rFonts w:eastAsia="MS Mincho"/>
              </w:rPr>
              <w:t>1.0472</w:t>
            </w:r>
          </w:p>
        </w:tc>
        <w:tc>
          <w:tcPr>
            <w:tcW w:w="1869" w:type="dxa"/>
            <w:shd w:val="clear" w:color="auto" w:fill="CCFFCC"/>
          </w:tcPr>
          <w:p w:rsidR="00404448" w:rsidRPr="008A39DA" w:rsidRDefault="00404448" w:rsidP="00404448">
            <w:pPr>
              <w:rPr>
                <w:rFonts w:eastAsia="MS Mincho"/>
              </w:rPr>
            </w:pPr>
            <w:r w:rsidRPr="008A39DA">
              <w:rPr>
                <w:rFonts w:eastAsia="MS Mincho"/>
              </w:rPr>
              <w:t>1.0042</w:t>
            </w:r>
          </w:p>
        </w:tc>
        <w:tc>
          <w:tcPr>
            <w:tcW w:w="1869" w:type="dxa"/>
            <w:shd w:val="clear" w:color="auto" w:fill="CCFFCC"/>
          </w:tcPr>
          <w:p w:rsidR="00404448" w:rsidRPr="008A39DA" w:rsidRDefault="00404448" w:rsidP="00404448">
            <w:pPr>
              <w:rPr>
                <w:rFonts w:eastAsia="MS Mincho"/>
              </w:rPr>
            </w:pPr>
            <w:r w:rsidRPr="008A39DA">
              <w:rPr>
                <w:rFonts w:eastAsia="MS Mincho"/>
              </w:rPr>
              <w:t>0.9847</w:t>
            </w:r>
          </w:p>
        </w:tc>
      </w:tr>
      <w:tr w:rsidR="00404448" w:rsidRPr="008A336E">
        <w:tc>
          <w:tcPr>
            <w:tcW w:w="1175" w:type="dxa"/>
            <w:shd w:val="clear" w:color="auto" w:fill="FF99CC"/>
          </w:tcPr>
          <w:p w:rsidR="00404448" w:rsidRPr="008A39DA" w:rsidRDefault="00404448" w:rsidP="00404448">
            <w:pPr>
              <w:rPr>
                <w:rFonts w:eastAsia="MS Mincho"/>
              </w:rPr>
            </w:pPr>
            <w:r w:rsidRPr="008A39DA">
              <w:rPr>
                <w:rFonts w:eastAsia="MS Mincho"/>
              </w:rPr>
              <w:t>20</w:t>
            </w:r>
          </w:p>
        </w:tc>
        <w:tc>
          <w:tcPr>
            <w:tcW w:w="1868" w:type="dxa"/>
            <w:shd w:val="clear" w:color="auto" w:fill="FF99CC"/>
          </w:tcPr>
          <w:p w:rsidR="00404448" w:rsidRPr="008A39DA" w:rsidRDefault="00404448" w:rsidP="00404448">
            <w:pPr>
              <w:rPr>
                <w:rFonts w:eastAsia="MS Mincho"/>
              </w:rPr>
            </w:pPr>
            <w:r w:rsidRPr="008A39DA">
              <w:rPr>
                <w:rFonts w:eastAsia="MS Mincho"/>
              </w:rPr>
              <w:t>0.9240</w:t>
            </w:r>
          </w:p>
        </w:tc>
        <w:tc>
          <w:tcPr>
            <w:tcW w:w="1869" w:type="dxa"/>
            <w:shd w:val="clear" w:color="auto" w:fill="FF99CC"/>
          </w:tcPr>
          <w:p w:rsidR="00404448" w:rsidRPr="008A39DA" w:rsidRDefault="00404448" w:rsidP="00404448">
            <w:pPr>
              <w:rPr>
                <w:rFonts w:eastAsia="MS Mincho"/>
              </w:rPr>
            </w:pPr>
            <w:r w:rsidRPr="008A39DA">
              <w:rPr>
                <w:rFonts w:eastAsia="MS Mincho"/>
              </w:rPr>
              <w:t>0.8943</w:t>
            </w:r>
          </w:p>
        </w:tc>
        <w:tc>
          <w:tcPr>
            <w:tcW w:w="1869" w:type="dxa"/>
            <w:shd w:val="clear" w:color="auto" w:fill="FF99CC"/>
          </w:tcPr>
          <w:p w:rsidR="00404448" w:rsidRPr="008A39DA" w:rsidRDefault="00404448" w:rsidP="00404448">
            <w:pPr>
              <w:rPr>
                <w:rFonts w:eastAsia="MS Mincho"/>
              </w:rPr>
            </w:pPr>
            <w:r w:rsidRPr="008A39DA">
              <w:rPr>
                <w:rFonts w:eastAsia="MS Mincho"/>
              </w:rPr>
              <w:t>0.8679</w:t>
            </w:r>
          </w:p>
        </w:tc>
        <w:tc>
          <w:tcPr>
            <w:tcW w:w="1869" w:type="dxa"/>
            <w:shd w:val="clear" w:color="auto" w:fill="FF99CC"/>
          </w:tcPr>
          <w:p w:rsidR="00404448" w:rsidRPr="008A39DA" w:rsidRDefault="00404448" w:rsidP="00404448">
            <w:pPr>
              <w:rPr>
                <w:rFonts w:eastAsia="MS Mincho"/>
              </w:rPr>
            </w:pPr>
            <w:r w:rsidRPr="008A39DA">
              <w:rPr>
                <w:rFonts w:eastAsia="MS Mincho"/>
              </w:rPr>
              <w:t>0.8246</w:t>
            </w:r>
          </w:p>
        </w:tc>
      </w:tr>
      <w:tr w:rsidR="00404448" w:rsidRPr="008A336E">
        <w:tc>
          <w:tcPr>
            <w:tcW w:w="1175" w:type="dxa"/>
            <w:shd w:val="clear" w:color="auto" w:fill="99CCFF"/>
          </w:tcPr>
          <w:p w:rsidR="00404448" w:rsidRPr="008A39DA" w:rsidRDefault="00404448" w:rsidP="00404448">
            <w:pPr>
              <w:rPr>
                <w:rFonts w:eastAsia="MS Mincho"/>
              </w:rPr>
            </w:pPr>
            <w:r w:rsidRPr="008A39DA">
              <w:rPr>
                <w:rFonts w:eastAsia="MS Mincho"/>
              </w:rPr>
              <w:t>22</w:t>
            </w:r>
          </w:p>
        </w:tc>
        <w:tc>
          <w:tcPr>
            <w:tcW w:w="1868" w:type="dxa"/>
            <w:shd w:val="clear" w:color="auto" w:fill="99CCFF"/>
          </w:tcPr>
          <w:p w:rsidR="00404448" w:rsidRPr="008A39DA" w:rsidRDefault="00404448" w:rsidP="00404448">
            <w:pPr>
              <w:rPr>
                <w:rFonts w:eastAsia="MS Mincho"/>
              </w:rPr>
            </w:pPr>
            <w:r w:rsidRPr="008A39DA">
              <w:rPr>
                <w:rFonts w:eastAsia="MS Mincho"/>
              </w:rPr>
              <w:t>0.9733</w:t>
            </w:r>
          </w:p>
        </w:tc>
        <w:tc>
          <w:tcPr>
            <w:tcW w:w="1869" w:type="dxa"/>
            <w:shd w:val="clear" w:color="auto" w:fill="99CCFF"/>
          </w:tcPr>
          <w:p w:rsidR="00404448" w:rsidRPr="008A39DA" w:rsidRDefault="00404448" w:rsidP="00404448">
            <w:pPr>
              <w:rPr>
                <w:rFonts w:eastAsia="MS Mincho"/>
              </w:rPr>
            </w:pPr>
            <w:r w:rsidRPr="008A39DA">
              <w:rPr>
                <w:rFonts w:eastAsia="MS Mincho"/>
              </w:rPr>
              <w:t>0.9167</w:t>
            </w:r>
          </w:p>
        </w:tc>
        <w:tc>
          <w:tcPr>
            <w:tcW w:w="1869" w:type="dxa"/>
            <w:shd w:val="clear" w:color="auto" w:fill="99CCFF"/>
          </w:tcPr>
          <w:p w:rsidR="00404448" w:rsidRPr="008A39DA" w:rsidRDefault="00404448" w:rsidP="00404448">
            <w:pPr>
              <w:rPr>
                <w:rFonts w:eastAsia="MS Mincho"/>
              </w:rPr>
            </w:pPr>
            <w:r w:rsidRPr="008A39DA">
              <w:rPr>
                <w:rFonts w:eastAsia="MS Mincho"/>
              </w:rPr>
              <w:t>0.8572</w:t>
            </w:r>
          </w:p>
        </w:tc>
        <w:tc>
          <w:tcPr>
            <w:tcW w:w="1869" w:type="dxa"/>
            <w:shd w:val="clear" w:color="auto" w:fill="99CCFF"/>
          </w:tcPr>
          <w:p w:rsidR="00404448" w:rsidRPr="008A39DA" w:rsidRDefault="00404448" w:rsidP="00404448">
            <w:pPr>
              <w:rPr>
                <w:rFonts w:eastAsia="MS Mincho"/>
              </w:rPr>
            </w:pPr>
            <w:r w:rsidRPr="008A39DA">
              <w:rPr>
                <w:rFonts w:eastAsia="MS Mincho"/>
              </w:rPr>
              <w:t>0.8779</w:t>
            </w:r>
          </w:p>
        </w:tc>
      </w:tr>
      <w:tr w:rsidR="00404448" w:rsidRPr="008A336E">
        <w:tc>
          <w:tcPr>
            <w:tcW w:w="1175" w:type="dxa"/>
            <w:shd w:val="clear" w:color="auto" w:fill="CC99FF"/>
          </w:tcPr>
          <w:p w:rsidR="00404448" w:rsidRPr="008A39DA" w:rsidRDefault="00404448" w:rsidP="00404448">
            <w:pPr>
              <w:rPr>
                <w:rFonts w:eastAsia="MS Mincho"/>
              </w:rPr>
            </w:pPr>
            <w:r w:rsidRPr="008A39DA">
              <w:rPr>
                <w:rFonts w:eastAsia="MS Mincho"/>
              </w:rPr>
              <w:t>23</w:t>
            </w:r>
          </w:p>
        </w:tc>
        <w:tc>
          <w:tcPr>
            <w:tcW w:w="1868" w:type="dxa"/>
            <w:shd w:val="clear" w:color="auto" w:fill="CC99FF"/>
          </w:tcPr>
          <w:p w:rsidR="00404448" w:rsidRPr="008A39DA" w:rsidRDefault="00404448" w:rsidP="00404448">
            <w:pPr>
              <w:rPr>
                <w:rFonts w:eastAsia="MS Mincho"/>
              </w:rPr>
            </w:pPr>
            <w:r w:rsidRPr="008A39DA">
              <w:rPr>
                <w:rFonts w:eastAsia="MS Mincho"/>
              </w:rPr>
              <w:t>0.9458</w:t>
            </w:r>
          </w:p>
        </w:tc>
        <w:tc>
          <w:tcPr>
            <w:tcW w:w="1869" w:type="dxa"/>
            <w:shd w:val="clear" w:color="auto" w:fill="CC99FF"/>
          </w:tcPr>
          <w:p w:rsidR="00404448" w:rsidRPr="008A39DA" w:rsidRDefault="00404448" w:rsidP="00404448">
            <w:pPr>
              <w:rPr>
                <w:rFonts w:eastAsia="MS Mincho"/>
              </w:rPr>
            </w:pPr>
            <w:r w:rsidRPr="008A39DA">
              <w:rPr>
                <w:rFonts w:eastAsia="MS Mincho"/>
              </w:rPr>
              <w:t>0.9597</w:t>
            </w:r>
          </w:p>
        </w:tc>
        <w:tc>
          <w:tcPr>
            <w:tcW w:w="1869" w:type="dxa"/>
            <w:shd w:val="clear" w:color="auto" w:fill="CC99FF"/>
          </w:tcPr>
          <w:p w:rsidR="00404448" w:rsidRPr="008A39DA" w:rsidRDefault="00404448" w:rsidP="00404448">
            <w:pPr>
              <w:rPr>
                <w:rFonts w:eastAsia="MS Mincho"/>
              </w:rPr>
            </w:pPr>
            <w:r w:rsidRPr="008A39DA">
              <w:rPr>
                <w:rFonts w:eastAsia="MS Mincho"/>
              </w:rPr>
              <w:t>0.9358</w:t>
            </w:r>
          </w:p>
        </w:tc>
        <w:tc>
          <w:tcPr>
            <w:tcW w:w="1869" w:type="dxa"/>
            <w:shd w:val="clear" w:color="auto" w:fill="CC99FF"/>
          </w:tcPr>
          <w:p w:rsidR="00404448" w:rsidRPr="008A39DA" w:rsidRDefault="00404448" w:rsidP="00404448">
            <w:pPr>
              <w:rPr>
                <w:rFonts w:eastAsia="MS Mincho"/>
              </w:rPr>
            </w:pPr>
            <w:r w:rsidRPr="008A39DA">
              <w:rPr>
                <w:rFonts w:eastAsia="MS Mincho"/>
              </w:rPr>
              <w:t>0.9158</w:t>
            </w:r>
          </w:p>
        </w:tc>
      </w:tr>
      <w:tr w:rsidR="00404448" w:rsidRPr="008A336E">
        <w:tc>
          <w:tcPr>
            <w:tcW w:w="1175" w:type="dxa"/>
            <w:shd w:val="clear" w:color="auto" w:fill="CCFFCC"/>
          </w:tcPr>
          <w:p w:rsidR="00404448" w:rsidRPr="008A39DA" w:rsidRDefault="00404448" w:rsidP="00404448">
            <w:pPr>
              <w:rPr>
                <w:rFonts w:eastAsia="MS Mincho"/>
              </w:rPr>
            </w:pPr>
            <w:r w:rsidRPr="008A39DA">
              <w:rPr>
                <w:rFonts w:eastAsia="MS Mincho"/>
              </w:rPr>
              <w:t>24</w:t>
            </w:r>
          </w:p>
        </w:tc>
        <w:tc>
          <w:tcPr>
            <w:tcW w:w="1868" w:type="dxa"/>
            <w:shd w:val="clear" w:color="auto" w:fill="CCFFCC"/>
          </w:tcPr>
          <w:p w:rsidR="00404448" w:rsidRPr="008A39DA" w:rsidRDefault="00404448" w:rsidP="00404448">
            <w:pPr>
              <w:rPr>
                <w:rFonts w:eastAsia="MS Mincho"/>
              </w:rPr>
            </w:pPr>
            <w:r w:rsidRPr="008A39DA">
              <w:rPr>
                <w:rFonts w:eastAsia="MS Mincho"/>
              </w:rPr>
              <w:t>0.9440</w:t>
            </w:r>
          </w:p>
        </w:tc>
        <w:tc>
          <w:tcPr>
            <w:tcW w:w="1869" w:type="dxa"/>
            <w:shd w:val="clear" w:color="auto" w:fill="CCFFCC"/>
          </w:tcPr>
          <w:p w:rsidR="00404448" w:rsidRPr="008A39DA" w:rsidRDefault="00404448" w:rsidP="00404448">
            <w:pPr>
              <w:rPr>
                <w:rFonts w:eastAsia="MS Mincho"/>
              </w:rPr>
            </w:pPr>
            <w:r w:rsidRPr="008A39DA">
              <w:rPr>
                <w:rFonts w:eastAsia="MS Mincho"/>
              </w:rPr>
              <w:t>0.8548</w:t>
            </w:r>
          </w:p>
        </w:tc>
        <w:tc>
          <w:tcPr>
            <w:tcW w:w="1869" w:type="dxa"/>
            <w:shd w:val="clear" w:color="auto" w:fill="CCFFCC"/>
          </w:tcPr>
          <w:p w:rsidR="00404448" w:rsidRPr="008A39DA" w:rsidRDefault="00404448" w:rsidP="00404448">
            <w:pPr>
              <w:rPr>
                <w:rFonts w:eastAsia="MS Mincho"/>
              </w:rPr>
            </w:pPr>
            <w:r w:rsidRPr="008A39DA">
              <w:rPr>
                <w:rFonts w:eastAsia="MS Mincho"/>
              </w:rPr>
              <w:t>0.9336</w:t>
            </w:r>
          </w:p>
        </w:tc>
        <w:tc>
          <w:tcPr>
            <w:tcW w:w="1869" w:type="dxa"/>
            <w:shd w:val="clear" w:color="auto" w:fill="CCFFCC"/>
          </w:tcPr>
          <w:p w:rsidR="00404448" w:rsidRPr="008A39DA" w:rsidRDefault="00404448" w:rsidP="00404448">
            <w:pPr>
              <w:rPr>
                <w:rFonts w:eastAsia="MS Mincho"/>
              </w:rPr>
            </w:pPr>
            <w:r w:rsidRPr="008A39DA">
              <w:rPr>
                <w:rFonts w:eastAsia="MS Mincho"/>
              </w:rPr>
              <w:t>1.0027</w:t>
            </w:r>
          </w:p>
        </w:tc>
      </w:tr>
    </w:tbl>
    <w:p w:rsidR="00404448" w:rsidRDefault="00404448" w:rsidP="00404448"/>
    <w:p w:rsidR="00404448" w:rsidRDefault="000518AB" w:rsidP="00404448">
      <w:pPr>
        <w:keepNext/>
      </w:pPr>
      <w:r>
        <w:rPr>
          <w:noProof/>
        </w:rPr>
        <w:drawing>
          <wp:inline distT="0" distB="0" distL="0" distR="0">
            <wp:extent cx="5961380" cy="4196080"/>
            <wp:effectExtent l="25400" t="0" r="7620" b="0"/>
            <wp:docPr id="34" name="Picture 34" descr="prnuColPeriodi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rnuColPeriodicity"/>
                    <pic:cNvPicPr>
                      <a:picLocks noChangeAspect="1" noChangeArrowheads="1"/>
                    </pic:cNvPicPr>
                  </pic:nvPicPr>
                  <pic:blipFill>
                    <a:blip r:embed="rId55"/>
                    <a:srcRect t="6299"/>
                    <a:stretch>
                      <a:fillRect/>
                    </a:stretch>
                  </pic:blipFill>
                  <pic:spPr bwMode="auto">
                    <a:xfrm>
                      <a:off x="0" y="0"/>
                      <a:ext cx="5961380" cy="4196080"/>
                    </a:xfrm>
                    <a:prstGeom prst="rect">
                      <a:avLst/>
                    </a:prstGeom>
                    <a:noFill/>
                    <a:ln w="9525">
                      <a:noFill/>
                      <a:miter lim="800000"/>
                      <a:headEnd/>
                      <a:tailEnd/>
                    </a:ln>
                  </pic:spPr>
                </pic:pic>
              </a:graphicData>
            </a:graphic>
          </wp:inline>
        </w:drawing>
      </w:r>
    </w:p>
    <w:p w:rsidR="00404448" w:rsidRPr="00FD49F6" w:rsidRDefault="00404448" w:rsidP="00404448">
      <w:pPr>
        <w:pStyle w:val="Caption"/>
      </w:pPr>
      <w:bookmarkStart w:id="162" w:name="_Toc322942259"/>
      <w:r>
        <w:t xml:space="preserve">Figure </w:t>
      </w:r>
      <w:fldSimple w:instr=" SEQ Figure \* ARABIC ">
        <w:r w:rsidR="000D2EB4">
          <w:rPr>
            <w:noProof/>
          </w:rPr>
          <w:t>29</w:t>
        </w:r>
      </w:fldSimple>
      <w:r>
        <w:t xml:space="preserve">:  Average response across columns (all rows of PRNU image averaged together) for Module 15. The periodic drops in response of ~0.05% </w:t>
      </w:r>
      <w:r>
        <w:rPr>
          <w:noProof/>
        </w:rPr>
        <w:t>were seen in the module tests at the same relative depth. The period of the response variation is 11.56 pixels. Similar response variations are seen in all module outputs  Figure from [Caldwell, 2007].</w:t>
      </w:r>
      <w:bookmarkEnd w:id="162"/>
    </w:p>
    <w:p w:rsidR="00404448" w:rsidRPr="00394F88" w:rsidRDefault="00404448" w:rsidP="00404448">
      <w:pPr>
        <w:pStyle w:val="Heading2"/>
        <w:rPr>
          <w:sz w:val="22"/>
        </w:rPr>
      </w:pPr>
      <w:bookmarkStart w:id="163" w:name="_Toc322942185"/>
      <w:r w:rsidRPr="00394F88">
        <w:rPr>
          <w:sz w:val="22"/>
        </w:rPr>
        <w:t>Intrapixel Response Nonuniformity</w:t>
      </w:r>
      <w:bookmarkEnd w:id="163"/>
    </w:p>
    <w:p w:rsidR="00404448" w:rsidRDefault="00404448" w:rsidP="00404448">
      <w:r>
        <w:t xml:space="preserve">Intrapixel response nonuniformity (IRNU) is the variation of photoresponse </w:t>
      </w:r>
      <w:r w:rsidRPr="009F2BE5">
        <w:rPr>
          <w:i/>
        </w:rPr>
        <w:t>within</w:t>
      </w:r>
      <w:r>
        <w:t xml:space="preserve"> a pixel.  It is an important source of photometric noise, since the observed signal will change for sub-pixel motions and will not be corrected by PRNU, which is applied to the entire pixel.  As such, it defines the maximum permissible concentration of light in a single pixel in the PRF (</w:t>
      </w:r>
      <w:r w:rsidR="00E607E6">
        <w:t>§</w:t>
      </w:r>
      <w:r w:rsidR="004C78B9">
        <w:fldChar w:fldCharType="begin"/>
      </w:r>
      <w:r w:rsidR="00C903B6">
        <w:instrText xml:space="preserve"> REF _Ref106254111 \r \h </w:instrText>
      </w:r>
      <w:r w:rsidR="004C78B9">
        <w:fldChar w:fldCharType="separate"/>
      </w:r>
      <w:r w:rsidR="000D2EB4">
        <w:t>3.5</w:t>
      </w:r>
      <w:r w:rsidR="004C78B9">
        <w:fldChar w:fldCharType="end"/>
      </w:r>
      <w:r>
        <w:t>) as well as the requirements on pointing jitter and drift (</w:t>
      </w:r>
      <w:r w:rsidR="00E607E6">
        <w:t>§</w:t>
      </w:r>
      <w:r w:rsidR="004C78B9">
        <w:fldChar w:fldCharType="begin"/>
      </w:r>
      <w:r w:rsidR="00C903B6">
        <w:instrText xml:space="preserve"> REF _Ref108500854 \r \h </w:instrText>
      </w:r>
      <w:r w:rsidR="004C78B9">
        <w:fldChar w:fldCharType="separate"/>
      </w:r>
      <w:r w:rsidR="000D2EB4">
        <w:t>3.7</w:t>
      </w:r>
      <w:r w:rsidR="004C78B9">
        <w:fldChar w:fldCharType="end"/>
      </w:r>
      <w:r>
        <w:t>).</w:t>
      </w:r>
    </w:p>
    <w:p w:rsidR="00404448" w:rsidRDefault="00404448" w:rsidP="00404448">
      <w:r>
        <w:t xml:space="preserve">The laboratory measurement of IRNU is considerably more difficult than PRNU.  It is necessary to image a source </w:t>
      </w:r>
      <w:r w:rsidR="00C67D90">
        <w:t xml:space="preserve">that </w:t>
      </w:r>
      <w:r>
        <w:t>is small compared to a pixel, keeping it steady to sub-pixel accuracy (~0.1 pix), while precis</w:t>
      </w:r>
      <w:r w:rsidR="00472086">
        <w:t>ely dithering it around a pixel</w:t>
      </w:r>
      <w:r>
        <w:t xml:space="preserve">. The effective intra-pixel response can depend on the f-number of the illumination since, for fast optical systems like </w:t>
      </w:r>
      <w:r w:rsidR="004A3FBE" w:rsidRPr="004A3FBE">
        <w:rPr>
          <w:i/>
        </w:rPr>
        <w:t>Kepler</w:t>
      </w:r>
      <w:r>
        <w:t xml:space="preserve"> the rays from a single source are entering the pixel at quite different angles.  It also depends on wavelength, and whether the CCD is front or back illuminated.  Because of the experimental difficulties, this detector property relies more on models and comparison to similar CCDs instead of direct measurement.</w:t>
      </w:r>
    </w:p>
    <w:p w:rsidR="00404448" w:rsidRDefault="00B679CF" w:rsidP="00404448">
      <w:r>
        <w:t xml:space="preserve">The results (modeled in Jenkins </w:t>
      </w:r>
      <w:r w:rsidRPr="00B679CF">
        <w:rPr>
          <w:i/>
        </w:rPr>
        <w:t>et al.</w:t>
      </w:r>
      <w:r>
        <w:t xml:space="preserve"> 2004</w:t>
      </w:r>
      <w:r w:rsidR="00404448">
        <w:t xml:space="preserve">) are expressed in terms of a pixel response function S(x,y), in terms of the intrapixel coordinates (x,y);  it is assumed that S(x,y) is the same for all pixels in a channel, as found by Jorden </w:t>
      </w:r>
      <w:r w:rsidR="00BA714D" w:rsidRPr="00BA714D">
        <w:rPr>
          <w:i/>
        </w:rPr>
        <w:t>et al.</w:t>
      </w:r>
      <w:r w:rsidR="00BA714D">
        <w:t xml:space="preserve"> </w:t>
      </w:r>
      <w:r w:rsidR="00404448">
        <w:t xml:space="preserve">(1994).  For the back-illuminated results for the Tektronix 1024 CCD reported by Jorden </w:t>
      </w:r>
      <w:r w:rsidRPr="00B679CF">
        <w:rPr>
          <w:i/>
        </w:rPr>
        <w:t>et al.</w:t>
      </w:r>
      <w:r>
        <w:t xml:space="preserve"> </w:t>
      </w:r>
      <w:r w:rsidR="00404448">
        <w:t xml:space="preserve">(1994), the scale and symmetry of intrapixel response variation is shown in </w:t>
      </w:r>
      <w:r w:rsidR="004C78B9">
        <w:fldChar w:fldCharType="begin"/>
      </w:r>
      <w:r w:rsidR="00C903B6">
        <w:instrText xml:space="preserve"> REF _Ref209952063 \h </w:instrText>
      </w:r>
      <w:r w:rsidR="004C78B9">
        <w:fldChar w:fldCharType="separate"/>
      </w:r>
      <w:r w:rsidR="000D2EB4">
        <w:t xml:space="preserve">Figure </w:t>
      </w:r>
      <w:r w:rsidR="000D2EB4">
        <w:rPr>
          <w:noProof/>
        </w:rPr>
        <w:t>30</w:t>
      </w:r>
      <w:r w:rsidR="004C78B9">
        <w:fldChar w:fldCharType="end"/>
      </w:r>
      <w:r w:rsidR="00404448">
        <w:t xml:space="preserve">.  </w:t>
      </w:r>
      <w:r w:rsidR="00404448" w:rsidRPr="0080683C">
        <w:t>T</w:t>
      </w:r>
      <w:r w:rsidR="00404448">
        <w:t>he 1/3 pixel periodicity in the</w:t>
      </w:r>
      <w:r w:rsidR="00404448" w:rsidRPr="0080683C">
        <w:t xml:space="preserve"> 3 phase </w:t>
      </w:r>
      <w:r w:rsidR="00404448">
        <w:t xml:space="preserve">Tek </w:t>
      </w:r>
      <w:r w:rsidR="00404448" w:rsidRPr="0080683C">
        <w:t xml:space="preserve">device is replaced by a 1/4 pixel periodicity in the </w:t>
      </w:r>
      <w:r w:rsidR="004A3FBE" w:rsidRPr="004A3FBE">
        <w:rPr>
          <w:i/>
        </w:rPr>
        <w:t>Kepler</w:t>
      </w:r>
      <w:r w:rsidR="00404448" w:rsidRPr="0080683C">
        <w:t xml:space="preserve"> 4-phase devices.</w:t>
      </w:r>
      <w:r w:rsidR="00404448">
        <w:t xml:space="preserve"> Below 600 nm, the variation of S(x,y) is quite small, while at 850 nm, the peak-peak variation is ~10%. This is due to the fact that the longer wavelength light travels through the entire CCD thickness and is absorbed in or very near the active region, so that there is little opportunity for diffusion from the absorption site before readout. At these wavelengths, S(x,y) exhibits variations that are consistent with the physical gate structure of the CCD. Conversely, this also explains the relative unimportance of intrapixel sensitivity variations for short-wavelength light, which is absorbed above the active region and must diffuse down into it prior to readout. The “blue” light never sees the gate structure, which has the opportunity to scatter the “red” light.  Like chromatic aberration, the wavelength dependence of intrapixel response gives a PRF which varies with wavelength, and hence with stellar spectral type. </w:t>
      </w:r>
      <w:r w:rsidR="00BC55BC">
        <w:t xml:space="preserve"> While important for requirement definition, intrapixel response is not modeled in the pipeline,</w:t>
      </w:r>
    </w:p>
    <w:p w:rsidR="00404448" w:rsidRDefault="000518AB" w:rsidP="00404448">
      <w:pPr>
        <w:keepNext/>
      </w:pPr>
      <w:r>
        <w:rPr>
          <w:noProof/>
        </w:rPr>
        <w:drawing>
          <wp:inline distT="0" distB="0" distL="0" distR="0">
            <wp:extent cx="5939790" cy="4657090"/>
            <wp:effectExtent l="25400" t="0" r="381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6"/>
                    <a:srcRect/>
                    <a:stretch>
                      <a:fillRect/>
                    </a:stretch>
                  </pic:blipFill>
                  <pic:spPr bwMode="auto">
                    <a:xfrm>
                      <a:off x="0" y="0"/>
                      <a:ext cx="5939790" cy="4657090"/>
                    </a:xfrm>
                    <a:prstGeom prst="rect">
                      <a:avLst/>
                    </a:prstGeom>
                    <a:noFill/>
                    <a:ln w="9525">
                      <a:noFill/>
                      <a:miter lim="800000"/>
                      <a:headEnd/>
                      <a:tailEnd/>
                    </a:ln>
                  </pic:spPr>
                </pic:pic>
              </a:graphicData>
            </a:graphic>
          </wp:inline>
        </w:drawing>
      </w:r>
    </w:p>
    <w:p w:rsidR="00404448" w:rsidRPr="0080683C" w:rsidRDefault="00404448" w:rsidP="00404448">
      <w:pPr>
        <w:pStyle w:val="Caption"/>
      </w:pPr>
      <w:bookmarkStart w:id="164" w:name="_Ref209952063"/>
      <w:bookmarkStart w:id="165" w:name="_Toc322942260"/>
      <w:r>
        <w:t xml:space="preserve">Figure </w:t>
      </w:r>
      <w:fldSimple w:instr=" SEQ Figure \* ARABIC ">
        <w:r w:rsidR="000D2EB4">
          <w:rPr>
            <w:noProof/>
          </w:rPr>
          <w:t>30</w:t>
        </w:r>
      </w:fldSimple>
      <w:bookmarkEnd w:id="164"/>
      <w:r>
        <w:t xml:space="preserve">:  Contour map of Tek 1024 back-illuminated CCD response from Jorden </w:t>
      </w:r>
      <w:r w:rsidR="00B45E28" w:rsidRPr="00B45E28">
        <w:rPr>
          <w:i/>
        </w:rPr>
        <w:t>et al.</w:t>
      </w:r>
      <w:r w:rsidR="00B45E28">
        <w:t xml:space="preserve"> </w:t>
      </w:r>
      <w:r>
        <w:t xml:space="preserve">(1994).  The 1/3 pixel periodicity in this 3 phase device is replaced by a 1/4 pixel periodicity in the </w:t>
      </w:r>
      <w:r w:rsidR="004A3FBE" w:rsidRPr="004A3FBE">
        <w:rPr>
          <w:i/>
        </w:rPr>
        <w:t>Kepler</w:t>
      </w:r>
      <w:r>
        <w:t xml:space="preserve"> 4-phase devices.</w:t>
      </w:r>
      <w:bookmarkEnd w:id="165"/>
    </w:p>
    <w:p w:rsidR="00404448" w:rsidRPr="00394F88" w:rsidRDefault="00404448" w:rsidP="00404448">
      <w:pPr>
        <w:pStyle w:val="Heading2"/>
        <w:rPr>
          <w:sz w:val="22"/>
        </w:rPr>
      </w:pPr>
      <w:bookmarkStart w:id="166" w:name="_Toc322942186"/>
      <w:r w:rsidRPr="00394F88">
        <w:rPr>
          <w:sz w:val="22"/>
        </w:rPr>
        <w:t>Flats</w:t>
      </w:r>
      <w:bookmarkEnd w:id="166"/>
    </w:p>
    <w:p w:rsidR="00404448" w:rsidRPr="00BA4238" w:rsidRDefault="00404448" w:rsidP="00404448">
      <w:pPr>
        <w:pStyle w:val="Caption"/>
        <w:rPr>
          <w:b w:val="0"/>
        </w:rPr>
      </w:pPr>
      <w:r>
        <w:rPr>
          <w:b w:val="0"/>
        </w:rPr>
        <w:t xml:space="preserve">There are two separate flat models </w:t>
      </w:r>
      <w:r w:rsidRPr="005A066F">
        <w:rPr>
          <w:b w:val="0"/>
        </w:rPr>
        <w:t>that are c</w:t>
      </w:r>
      <w:r>
        <w:rPr>
          <w:b w:val="0"/>
        </w:rPr>
        <w:t xml:space="preserve">ombined into one flat.  </w:t>
      </w:r>
      <w:r w:rsidRPr="005A066F">
        <w:rPr>
          <w:b w:val="0"/>
        </w:rPr>
        <w:t>The "small-scale flat" i</w:t>
      </w:r>
      <w:r>
        <w:rPr>
          <w:b w:val="0"/>
        </w:rPr>
        <w:t xml:space="preserve">s generated from the PRNU data </w:t>
      </w:r>
      <w:r w:rsidRPr="005A066F">
        <w:rPr>
          <w:b w:val="0"/>
        </w:rPr>
        <w:t xml:space="preserve">and contains information only on local </w:t>
      </w:r>
      <w:r>
        <w:rPr>
          <w:b w:val="0"/>
        </w:rPr>
        <w:t xml:space="preserve">pixel scales using a </w:t>
      </w:r>
      <w:r w:rsidRPr="005A066F">
        <w:rPr>
          <w:b w:val="0"/>
        </w:rPr>
        <w:t xml:space="preserve">9x9 </w:t>
      </w:r>
      <w:r>
        <w:rPr>
          <w:b w:val="0"/>
        </w:rPr>
        <w:t>pixel high-pass filter</w:t>
      </w:r>
      <w:r w:rsidR="00B22AB7">
        <w:rPr>
          <w:b w:val="0"/>
        </w:rPr>
        <w:t xml:space="preserve"> (KAM §2.3.5.12)</w:t>
      </w:r>
      <w:r>
        <w:rPr>
          <w:b w:val="0"/>
        </w:rPr>
        <w:t xml:space="preserve">.  </w:t>
      </w:r>
      <w:r w:rsidRPr="005A066F">
        <w:rPr>
          <w:b w:val="0"/>
        </w:rPr>
        <w:t>The "large-scale</w:t>
      </w:r>
      <w:r w:rsidR="0044607D">
        <w:rPr>
          <w:b w:val="0"/>
        </w:rPr>
        <w:t xml:space="preserve"> flat" FC model contains vignetting and obscuration (§</w:t>
      </w:r>
      <w:r w:rsidR="004C78B9">
        <w:rPr>
          <w:b w:val="0"/>
        </w:rPr>
        <w:fldChar w:fldCharType="begin"/>
      </w:r>
      <w:r w:rsidR="0044607D">
        <w:rPr>
          <w:b w:val="0"/>
        </w:rPr>
        <w:instrText xml:space="preserve"> REF _Ref106254506 \r \h </w:instrText>
      </w:r>
      <w:r w:rsidR="002559BD" w:rsidRPr="004C78B9">
        <w:rPr>
          <w:b w:val="0"/>
        </w:rPr>
      </w:r>
      <w:r w:rsidR="004C78B9">
        <w:rPr>
          <w:b w:val="0"/>
        </w:rPr>
        <w:fldChar w:fldCharType="separate"/>
      </w:r>
      <w:r w:rsidR="000D2EB4">
        <w:rPr>
          <w:b w:val="0"/>
        </w:rPr>
        <w:t>3.6</w:t>
      </w:r>
      <w:r w:rsidR="004C78B9">
        <w:rPr>
          <w:b w:val="0"/>
        </w:rPr>
        <w:fldChar w:fldCharType="end"/>
      </w:r>
      <w:r w:rsidR="0044607D">
        <w:rPr>
          <w:b w:val="0"/>
        </w:rPr>
        <w:t xml:space="preserve"> and KAM §2.3.5.11).</w:t>
      </w:r>
      <w:r>
        <w:rPr>
          <w:b w:val="0"/>
        </w:rPr>
        <w:t xml:space="preserve"> </w:t>
      </w:r>
      <w:r w:rsidR="00C67D90">
        <w:rPr>
          <w:b w:val="0"/>
        </w:rPr>
        <w:t xml:space="preserve">Pipeline calibration </w:t>
      </w:r>
      <w:r>
        <w:rPr>
          <w:b w:val="0"/>
        </w:rPr>
        <w:t xml:space="preserve">is done with the </w:t>
      </w:r>
      <w:r w:rsidRPr="005A066F">
        <w:rPr>
          <w:b w:val="0"/>
        </w:rPr>
        <w:t>combined flat</w:t>
      </w:r>
      <w:r>
        <w:rPr>
          <w:b w:val="0"/>
        </w:rPr>
        <w:t>.</w:t>
      </w:r>
    </w:p>
    <w:p w:rsidR="00404448" w:rsidRPr="00394F88" w:rsidRDefault="00404448" w:rsidP="00404448">
      <w:pPr>
        <w:pStyle w:val="Heading2"/>
        <w:rPr>
          <w:sz w:val="22"/>
        </w:rPr>
      </w:pPr>
      <w:bookmarkStart w:id="167" w:name="_Toc322942187"/>
      <w:r w:rsidRPr="00394F88">
        <w:rPr>
          <w:sz w:val="22"/>
        </w:rPr>
        <w:t>Bad Pixels</w:t>
      </w:r>
      <w:bookmarkEnd w:id="167"/>
    </w:p>
    <w:p w:rsidR="00404448" w:rsidRPr="009627C8" w:rsidRDefault="004309DE" w:rsidP="00404448">
      <w:r>
        <w:t>Pixels are considered</w:t>
      </w:r>
      <w:r w:rsidR="00404448">
        <w:t xml:space="preserve"> bad if their photoresponse is different from that of their neighbors by more than 5%, or if they have high dark current (</w:t>
      </w:r>
      <w:r w:rsidR="002D095B">
        <w:t>i.e.</w:t>
      </w:r>
      <w:r w:rsidR="00404448">
        <w:t xml:space="preserve">, greater than the detection limit of 0.2 e-/s  compared to neighboring pixels).  The fraction of the focal plane from which targets containing at least one bad pixel are excluded </w:t>
      </w:r>
      <w:r w:rsidR="00404448" w:rsidRPr="00541F7F">
        <w:t>is determine</w:t>
      </w:r>
      <w:r w:rsidR="00404448">
        <w:t xml:space="preserve">d by convolving a 5x5 pixel box with the map of all bad </w:t>
      </w:r>
      <w:r w:rsidR="00404448" w:rsidRPr="00541F7F">
        <w:t>pixels</w:t>
      </w:r>
      <w:r w:rsidR="00404448">
        <w:t>, taking the 5x5 box to be a typical target aperture (Caldwell, 2007).  Conversely, a target is deemed unusable if there is at least one bad pixel in the 5x5 box centered on the unusable pixel.  Only about 1% of the focal plane is so excluded, corresponding to roughly &lt;2 bad pixels per 1000 before convolution.</w:t>
      </w:r>
      <w:r w:rsidR="009627C8">
        <w:t xml:space="preserve"> Bad pixels are not masked or excluded from targets by the </w:t>
      </w:r>
      <w:r w:rsidR="009627C8">
        <w:rPr>
          <w:i/>
        </w:rPr>
        <w:t>Kepler</w:t>
      </w:r>
      <w:r>
        <w:t xml:space="preserve"> pipeline, as discussed in KAM §2.3.5.13.</w:t>
      </w:r>
    </w:p>
    <w:p w:rsidR="00404448" w:rsidRPr="00394F88" w:rsidRDefault="00404448" w:rsidP="00404448">
      <w:pPr>
        <w:pStyle w:val="Heading2"/>
        <w:rPr>
          <w:sz w:val="22"/>
        </w:rPr>
      </w:pPr>
      <w:bookmarkStart w:id="168" w:name="_Ref108779911"/>
      <w:bookmarkStart w:id="169" w:name="_Toc322942188"/>
      <w:r w:rsidRPr="00394F88">
        <w:rPr>
          <w:sz w:val="22"/>
        </w:rPr>
        <w:t>Cosmic Rays</w:t>
      </w:r>
      <w:bookmarkEnd w:id="168"/>
      <w:bookmarkEnd w:id="169"/>
    </w:p>
    <w:p w:rsidR="00404448" w:rsidRDefault="00404448" w:rsidP="00404448">
      <w:r>
        <w:t>Cosmic rays (CRs) can have both prompt and persistent effects on the signal measured on a pixel.  The prompt effect is a charge from the ionization trail of the CR</w:t>
      </w:r>
      <w:r w:rsidR="00330740">
        <w:t>,</w:t>
      </w:r>
      <w:r>
        <w:t xml:space="preserve"> which corrupts the signal until the pixel is next read out. </w:t>
      </w:r>
      <w:r w:rsidR="00A05FFE">
        <w:t xml:space="preserve"> The dominant persis</w:t>
      </w:r>
      <w:r w:rsidR="007902B0">
        <w:t>t</w:t>
      </w:r>
      <w:r w:rsidR="00A05FFE">
        <w:t>ent effect is Sudden Pixel Sensitivity Dropoffs (SPSD)</w:t>
      </w:r>
      <w:r w:rsidRPr="00E941B7">
        <w:t xml:space="preserve">, </w:t>
      </w:r>
      <w:r w:rsidR="007902B0">
        <w:t>in which pixel responsivi</w:t>
      </w:r>
      <w:r w:rsidR="00A05FFE">
        <w:t xml:space="preserve">ty decreases discontinuously, then slowly returns </w:t>
      </w:r>
      <w:r w:rsidR="00370D02">
        <w:t>tow</w:t>
      </w:r>
      <w:r w:rsidR="00A05FFE">
        <w:t>ards the pre-event level</w:t>
      </w:r>
      <w:r w:rsidR="00370D02">
        <w:t>.</w:t>
      </w:r>
      <w:r w:rsidRPr="00E941B7">
        <w:t xml:space="preserve"> Such effects are likely due to non-ionizing energy loss (NIEL) interactions, in which the lattice is damaged, and may require annealing to remove.  </w:t>
      </w:r>
      <w:r w:rsidR="001C66EF">
        <w:t xml:space="preserve">While </w:t>
      </w:r>
      <w:r w:rsidR="001C66EF" w:rsidRPr="001C66EF">
        <w:rPr>
          <w:i/>
        </w:rPr>
        <w:t>Kepler</w:t>
      </w:r>
      <w:r w:rsidR="001C66EF">
        <w:t xml:space="preserve"> was built with annealing heaters, t</w:t>
      </w:r>
      <w:r w:rsidRPr="00E941B7">
        <w:t xml:space="preserve">he possible benefits of annealing </w:t>
      </w:r>
      <w:r w:rsidR="001C66EF">
        <w:t xml:space="preserve">were not considered compelling compared to </w:t>
      </w:r>
      <w:r w:rsidRPr="00E941B7">
        <w:t>the loss of science observing time for the annealing activity and subsequent thermal stabilization of the CCDs</w:t>
      </w:r>
      <w:r w:rsidR="00E27494">
        <w:t xml:space="preserve"> and LDE. </w:t>
      </w:r>
      <w:r w:rsidR="00370D02">
        <w:t xml:space="preserve"> SPSDs </w:t>
      </w:r>
      <w:r w:rsidRPr="00E941B7">
        <w:t xml:space="preserve">can be considerably larger than Earth-sized transits, and </w:t>
      </w:r>
      <w:r w:rsidR="00370D02">
        <w:t>their mitigation is</w:t>
      </w:r>
      <w:r w:rsidR="001C66EF">
        <w:t xml:space="preserve"> </w:t>
      </w:r>
      <w:r w:rsidR="00DB4827">
        <w:t>discussed in the KDPH</w:t>
      </w:r>
      <w:r w:rsidR="00E27494">
        <w:t xml:space="preserve"> and </w:t>
      </w:r>
      <w:r w:rsidR="004D1C60">
        <w:t>Stumpe</w:t>
      </w:r>
      <w:r w:rsidR="00370D02">
        <w:t xml:space="preserve"> </w:t>
      </w:r>
      <w:r w:rsidR="00370D02" w:rsidRPr="00DB4827">
        <w:rPr>
          <w:i/>
        </w:rPr>
        <w:t>et al.</w:t>
      </w:r>
      <w:r w:rsidR="00370D02">
        <w:t xml:space="preserve"> (2012)</w:t>
      </w:r>
      <w:r>
        <w:t>.</w:t>
      </w:r>
      <w:r w:rsidRPr="00503A00">
        <w:t xml:space="preserve"> </w:t>
      </w:r>
      <w:r>
        <w:t xml:space="preserve">While CR removal occurs on the ground, not onboard, it involves hardware phenomena and is thus described in this Handbook.  This </w:t>
      </w:r>
      <w:r w:rsidR="00E607E6">
        <w:t>section</w:t>
      </w:r>
      <w:r>
        <w:t xml:space="preserve"> discusses prompt effects only, and treats together the effects of Galactic and Solar particles.  </w:t>
      </w:r>
    </w:p>
    <w:p w:rsidR="00404448" w:rsidRPr="00ED0650" w:rsidRDefault="00404448" w:rsidP="00404448">
      <w:r w:rsidRPr="00E941B7">
        <w:t>A cosmic ray typically deposits charge in about 4 pixels, depending on its angle of incidence on the CCD.  The char</w:t>
      </w:r>
      <w:r>
        <w:t>ge deposited in a single pixel by</w:t>
      </w:r>
      <w:r w:rsidRPr="00E941B7">
        <w:t xml:space="preserve"> </w:t>
      </w:r>
      <w:r w:rsidR="00DB4827">
        <w:t xml:space="preserve">a </w:t>
      </w:r>
      <w:r w:rsidRPr="00E941B7">
        <w:t xml:space="preserve">cosmic ray is here called a </w:t>
      </w:r>
      <w:r w:rsidRPr="00E941B7">
        <w:rPr>
          <w:i/>
        </w:rPr>
        <w:t>pixel event</w:t>
      </w:r>
      <w:r w:rsidRPr="00E941B7">
        <w:t xml:space="preserve">, while the set of all pixel events caused by a single CR particle is called a </w:t>
      </w:r>
      <w:r w:rsidRPr="00E941B7">
        <w:rPr>
          <w:i/>
        </w:rPr>
        <w:t>particle event</w:t>
      </w:r>
      <w:r w:rsidRPr="00E941B7">
        <w:t xml:space="preserve">.  </w:t>
      </w:r>
      <w:r w:rsidR="00D8647F">
        <w:t xml:space="preserve">For requirements definition, </w:t>
      </w:r>
      <w:r w:rsidR="004A3FBE" w:rsidRPr="004A3FBE">
        <w:rPr>
          <w:i/>
        </w:rPr>
        <w:t>Kepler</w:t>
      </w:r>
      <w:r w:rsidR="00D8647F">
        <w:t xml:space="preserve"> </w:t>
      </w:r>
      <w:r w:rsidRPr="00E941B7">
        <w:t>adopted a particle flux of 5 cm</w:t>
      </w:r>
      <w:r w:rsidRPr="00E941B7">
        <w:rPr>
          <w:vertAlign w:val="superscript"/>
        </w:rPr>
        <w:t>−2</w:t>
      </w:r>
      <w:r w:rsidRPr="00E941B7">
        <w:t xml:space="preserve"> s</w:t>
      </w:r>
      <w:r w:rsidRPr="00E941B7">
        <w:rPr>
          <w:vertAlign w:val="superscript"/>
        </w:rPr>
        <w:t>−1</w:t>
      </w:r>
      <w:r w:rsidRPr="00E941B7">
        <w:t xml:space="preserve"> based on previously flown missions in similar orbits</w:t>
      </w:r>
      <w:r w:rsidR="007F6DB8">
        <w:t xml:space="preserve"> (</w:t>
      </w:r>
      <w:r w:rsidR="006142F7">
        <w:t xml:space="preserve">Jenkins </w:t>
      </w:r>
      <w:r w:rsidR="006142F7" w:rsidRPr="007F6DB8">
        <w:rPr>
          <w:i/>
        </w:rPr>
        <w:t>et al.</w:t>
      </w:r>
      <w:r w:rsidR="007F6DB8">
        <w:t xml:space="preserve"> 2004). </w:t>
      </w:r>
      <w:r w:rsidR="005F092A">
        <w:t xml:space="preserve"> During Commissioning, the pixel</w:t>
      </w:r>
      <w:r w:rsidR="007F6DB8">
        <w:t xml:space="preserve"> and particle event histograms were measured by collecting single-integration FFIs with the dust cover on, thus reducing the read noise to that of a single integration and setting a threshold of 600 e- for 6</w:t>
      </w:r>
      <w:r w:rsidR="007F6DB8">
        <w:sym w:font="Symbol" w:char="F073"/>
      </w:r>
      <w:r w:rsidR="007F6DB8">
        <w:t xml:space="preserve"> pixel event detection (</w:t>
      </w:r>
      <w:r w:rsidR="004C78B9">
        <w:fldChar w:fldCharType="begin"/>
      </w:r>
      <w:r w:rsidR="00D12922">
        <w:instrText xml:space="preserve"> REF _Ref108713876 \h </w:instrText>
      </w:r>
      <w:r w:rsidR="004C78B9">
        <w:fldChar w:fldCharType="separate"/>
      </w:r>
      <w:r w:rsidR="000D2EB4">
        <w:t xml:space="preserve">Figure </w:t>
      </w:r>
      <w:r w:rsidR="000D2EB4">
        <w:rPr>
          <w:noProof/>
        </w:rPr>
        <w:t>31</w:t>
      </w:r>
      <w:r w:rsidR="004C78B9">
        <w:fldChar w:fldCharType="end"/>
      </w:r>
      <w:r w:rsidR="007F6DB8">
        <w:t xml:space="preserve">). </w:t>
      </w:r>
      <w:r w:rsidR="005F092A">
        <w:t xml:space="preserve"> T</w:t>
      </w:r>
      <w:r>
        <w:t xml:space="preserve">he </w:t>
      </w:r>
      <w:r w:rsidR="005F092A">
        <w:t xml:space="preserve">observed </w:t>
      </w:r>
      <w:r>
        <w:t xml:space="preserve">pixel event histogram </w:t>
      </w:r>
      <w:r w:rsidR="00DB4827">
        <w:t>(</w:t>
      </w:r>
      <w:r w:rsidR="004C78B9">
        <w:fldChar w:fldCharType="begin"/>
      </w:r>
      <w:r w:rsidR="00DB4827">
        <w:instrText xml:space="preserve"> REF _Ref108713876 \h </w:instrText>
      </w:r>
      <w:r w:rsidR="004C78B9">
        <w:fldChar w:fldCharType="separate"/>
      </w:r>
      <w:r w:rsidR="000D2EB4">
        <w:t xml:space="preserve">Figure </w:t>
      </w:r>
      <w:r w:rsidR="000D2EB4">
        <w:rPr>
          <w:noProof/>
        </w:rPr>
        <w:t>31</w:t>
      </w:r>
      <w:r w:rsidR="004C78B9">
        <w:fldChar w:fldCharType="end"/>
      </w:r>
      <w:r w:rsidR="00DB4827">
        <w:t xml:space="preserve">) </w:t>
      </w:r>
      <w:r>
        <w:t>shows an increasing number of events at smaller charge dumps until the pixel events get lost in the read noise</w:t>
      </w:r>
      <w:r w:rsidR="005F092A">
        <w:t xml:space="preserve">, while the observed particle event histogram (not shown) </w:t>
      </w:r>
      <w:r w:rsidR="005F092A" w:rsidRPr="00E941B7">
        <w:t>is strongly peaked around about 2600 electrons with a long weak tail at higher energies</w:t>
      </w:r>
      <w:r>
        <w:t>. The &gt;6</w:t>
      </w:r>
      <w:r>
        <w:sym w:font="Symbol" w:char="F073"/>
      </w:r>
      <w:r>
        <w:t xml:space="preserve"> pixel event rate was approximately 10 cm</w:t>
      </w:r>
      <w:r>
        <w:rPr>
          <w:vertAlign w:val="superscript"/>
        </w:rPr>
        <w:t>-2</w:t>
      </w:r>
      <w:r>
        <w:t xml:space="preserve"> s</w:t>
      </w:r>
      <w:r>
        <w:rPr>
          <w:vertAlign w:val="superscript"/>
        </w:rPr>
        <w:t>-1</w:t>
      </w:r>
      <w:r>
        <w:t>, in good agreement</w:t>
      </w:r>
      <w:r w:rsidR="006D045C">
        <w:t xml:space="preserve"> with predictions </w:t>
      </w:r>
      <w:r>
        <w:t>given the difficulty of detecting small pixel events in the presence of read noise.</w:t>
      </w:r>
      <w:r w:rsidR="007F6DB8">
        <w:t xml:space="preserve"> Therefore, d</w:t>
      </w:r>
      <w:r w:rsidR="007F6DB8" w:rsidRPr="00E941B7">
        <w:t>uring a 30 m</w:t>
      </w:r>
      <w:r w:rsidR="007F6DB8">
        <w:t>inute LC, 30% of the pixels were expected to</w:t>
      </w:r>
      <w:r w:rsidR="007F6DB8" w:rsidRPr="00E941B7">
        <w:t xml:space="preserve"> suffer </w:t>
      </w:r>
      <w:r w:rsidR="007F6DB8">
        <w:t xml:space="preserve">detectable </w:t>
      </w:r>
      <w:r w:rsidR="007F6DB8" w:rsidRPr="00E941B7">
        <w:t>pixel events. Equivalently, each</w:t>
      </w:r>
      <w:r w:rsidR="007F6DB8">
        <w:t xml:space="preserve"> target suffers </w:t>
      </w:r>
      <w:r w:rsidR="00841A2C">
        <w:t xml:space="preserve">on the average </w:t>
      </w:r>
      <w:r w:rsidR="007F6DB8">
        <w:t>2.0 particle events</w:t>
      </w:r>
      <w:r w:rsidR="00B43770">
        <w:t xml:space="preserve"> per LC</w:t>
      </w:r>
      <w:r w:rsidR="007F6DB8">
        <w:t>, with several pixel events per particle event</w:t>
      </w:r>
      <w:r w:rsidR="007F6DB8" w:rsidRPr="00E941B7">
        <w:t>, for the average aperture containing 32 pixels.</w:t>
      </w:r>
      <w:r w:rsidR="005F092A">
        <w:t xml:space="preserve">  </w:t>
      </w:r>
    </w:p>
    <w:p w:rsidR="00404448" w:rsidRDefault="00AD0697" w:rsidP="00404448">
      <w:pPr>
        <w:keepNext/>
      </w:pPr>
      <w:r w:rsidRPr="00AD0697">
        <w:rPr>
          <w:noProof/>
        </w:rPr>
        <w:drawing>
          <wp:anchor distT="0" distB="0" distL="114300" distR="114300" simplePos="0" relativeHeight="251662336" behindDoc="0" locked="0" layoutInCell="1" allowOverlap="1">
            <wp:simplePos x="0" y="0"/>
            <wp:positionH relativeFrom="column">
              <wp:posOffset>0</wp:posOffset>
            </wp:positionH>
            <wp:positionV relativeFrom="paragraph">
              <wp:posOffset>0</wp:posOffset>
            </wp:positionV>
            <wp:extent cx="5940425" cy="3453765"/>
            <wp:effectExtent l="25400" t="0" r="3175" b="0"/>
            <wp:wrapTight wrapText="bothSides">
              <wp:wrapPolygon edited="0">
                <wp:start x="-92" y="0"/>
                <wp:lineTo x="-92" y="21445"/>
                <wp:lineTo x="21612" y="21445"/>
                <wp:lineTo x="21612" y="0"/>
                <wp:lineTo x="-92" y="0"/>
              </wp:wrapPolygon>
            </wp:wrapTight>
            <wp:docPr id="700" name="Picture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0"/>
                    <pic:cNvPicPr>
                      <a:picLocks noChangeAspect="1" noChangeArrowheads="1"/>
                    </pic:cNvPicPr>
                  </pic:nvPicPr>
                  <pic:blipFill>
                    <a:blip r:embed="rId57"/>
                    <a:srcRect/>
                    <a:stretch>
                      <a:fillRect/>
                    </a:stretch>
                  </pic:blipFill>
                  <pic:spPr bwMode="auto">
                    <a:xfrm>
                      <a:off x="0" y="0"/>
                      <a:ext cx="5940425" cy="3453765"/>
                    </a:xfrm>
                    <a:prstGeom prst="rect">
                      <a:avLst/>
                    </a:prstGeom>
                    <a:noFill/>
                    <a:ln w="9525">
                      <a:noFill/>
                      <a:miter lim="800000"/>
                      <a:headEnd/>
                      <a:tailEnd/>
                    </a:ln>
                  </pic:spPr>
                </pic:pic>
              </a:graphicData>
            </a:graphic>
          </wp:anchor>
        </w:drawing>
      </w:r>
    </w:p>
    <w:p w:rsidR="00404448" w:rsidRDefault="00404448" w:rsidP="00404448">
      <w:pPr>
        <w:pStyle w:val="Caption"/>
      </w:pPr>
      <w:bookmarkStart w:id="170" w:name="_Ref108713876"/>
      <w:bookmarkStart w:id="171" w:name="_Toc322942261"/>
      <w:r>
        <w:t xml:space="preserve">Figure </w:t>
      </w:r>
      <w:fldSimple w:instr=" SEQ Figure \* ARABIC ">
        <w:r w:rsidR="000D2EB4">
          <w:rPr>
            <w:noProof/>
          </w:rPr>
          <w:t>31</w:t>
        </w:r>
      </w:fldSimple>
      <w:bookmarkEnd w:id="170"/>
      <w:r>
        <w:t>:  Cosmic Ray pixel event charge dump histogram for Channel 13.1</w:t>
      </w:r>
      <w:r w:rsidR="00CB3081">
        <w:t xml:space="preserve"> in units of e-</w:t>
      </w:r>
      <w:r>
        <w:t xml:space="preserve">.  These single-integration FFI data were collected in the dark, before dust cover ejection, during Commissioning.  </w:t>
      </w:r>
      <w:r w:rsidR="00281C7C">
        <w:t>Only pixel events exceeding 6x the 100 e-</w:t>
      </w:r>
      <w:r>
        <w:t xml:space="preserve"> read noise threshold are shown.</w:t>
      </w:r>
      <w:bookmarkEnd w:id="171"/>
    </w:p>
    <w:p w:rsidR="00404448" w:rsidRDefault="00404448" w:rsidP="00404448">
      <w:r>
        <w:t>There are several reasons to</w:t>
      </w:r>
      <w:r w:rsidRPr="00E941B7">
        <w:t xml:space="preserve"> perform cosmic ray cleansing at the pixel lev</w:t>
      </w:r>
      <w:r w:rsidR="00E35002">
        <w:t xml:space="preserve">el (Twicken </w:t>
      </w:r>
      <w:r w:rsidR="00E35002" w:rsidRPr="00E35002">
        <w:rPr>
          <w:i/>
        </w:rPr>
        <w:t>et al.</w:t>
      </w:r>
      <w:r w:rsidR="00E35002">
        <w:t xml:space="preserve"> 2010</w:t>
      </w:r>
      <w:r>
        <w:t xml:space="preserve">). While most target apertures will suffer a CR particle event on every cadence, hobbling efforts to remove CR particle events from total aperture flux time series, </w:t>
      </w:r>
      <w:r w:rsidRPr="00E941B7">
        <w:t xml:space="preserve">different pixels are affected on different LCs, </w:t>
      </w:r>
      <w:r>
        <w:t xml:space="preserve">and CR pixel events </w:t>
      </w:r>
      <w:r w:rsidRPr="00E941B7">
        <w:t>can be identified as positive outliers</w:t>
      </w:r>
      <w:r>
        <w:t xml:space="preserve"> in LC pixel time series</w:t>
      </w:r>
      <w:r w:rsidRPr="00E941B7">
        <w:t xml:space="preserve">. </w:t>
      </w:r>
      <w:r>
        <w:t xml:space="preserve"> S</w:t>
      </w:r>
      <w:r w:rsidRPr="00E941B7">
        <w:t xml:space="preserve">hot noise is less for dim </w:t>
      </w:r>
      <w:r>
        <w:t xml:space="preserve">pixels, making </w:t>
      </w:r>
      <w:r w:rsidRPr="00E941B7">
        <w:t>it is much eas</w:t>
      </w:r>
      <w:r>
        <w:t xml:space="preserve">ier to identify cosmic rays, and for each target some pixels in the aperture </w:t>
      </w:r>
      <w:r w:rsidRPr="00E941B7">
        <w:t>are much dimmer than others</w:t>
      </w:r>
      <w:r>
        <w:t>.</w:t>
      </w:r>
      <w:r w:rsidRPr="00E941B7">
        <w:t xml:space="preserve"> </w:t>
      </w:r>
    </w:p>
    <w:p w:rsidR="00404448" w:rsidRDefault="00404448" w:rsidP="00404448">
      <w:r>
        <w:t>E</w:t>
      </w:r>
      <w:r w:rsidRPr="00E941B7">
        <w:t xml:space="preserve">ach cosmic ray event can </w:t>
      </w:r>
      <w:r>
        <w:t xml:space="preserve">then </w:t>
      </w:r>
      <w:r w:rsidRPr="00E941B7">
        <w:t xml:space="preserve">be replaced with a temporally local average of each pixel’s time series without the cosmic ray </w:t>
      </w:r>
      <w:r>
        <w:t xml:space="preserve">pixel </w:t>
      </w:r>
      <w:r w:rsidR="00E35002">
        <w:t xml:space="preserve">events.  Twicken </w:t>
      </w:r>
      <w:r w:rsidR="00E35002" w:rsidRPr="00E35002">
        <w:rPr>
          <w:i/>
        </w:rPr>
        <w:t>et al.</w:t>
      </w:r>
      <w:r w:rsidR="00E35002">
        <w:t xml:space="preserve"> (2010) </w:t>
      </w:r>
      <w:r w:rsidR="00DA2D55">
        <w:t xml:space="preserve">and Morris </w:t>
      </w:r>
      <w:r w:rsidR="00DA2D55" w:rsidRPr="00DA2D55">
        <w:rPr>
          <w:i/>
        </w:rPr>
        <w:t>et al.</w:t>
      </w:r>
      <w:r w:rsidR="00DA2D55">
        <w:t xml:space="preserve"> (2016) </w:t>
      </w:r>
      <w:r w:rsidR="00E35002">
        <w:t>present</w:t>
      </w:r>
      <w:r w:rsidRPr="00E941B7">
        <w:t xml:space="preserve"> a detailed discussion of cleaning cosmic rays from the data</w:t>
      </w:r>
      <w:r>
        <w:t>.</w:t>
      </w:r>
    </w:p>
    <w:p w:rsidR="00404448" w:rsidRDefault="00404448" w:rsidP="00404448">
      <w:r w:rsidRPr="00E941B7">
        <w:t xml:space="preserve"> A bestiary of Cosmic</w:t>
      </w:r>
      <w:r>
        <w:t xml:space="preserve"> Ray events observed in Commissioning</w:t>
      </w:r>
      <w:r w:rsidRPr="00E941B7">
        <w:t xml:space="preserve"> is shown in </w:t>
      </w:r>
      <w:r w:rsidR="004C78B9">
        <w:fldChar w:fldCharType="begin"/>
      </w:r>
      <w:r w:rsidR="00C903B6">
        <w:instrText xml:space="preserve"> REF _Ref106253642 \h </w:instrText>
      </w:r>
      <w:r w:rsidR="004C78B9">
        <w:fldChar w:fldCharType="separate"/>
      </w:r>
      <w:r w:rsidR="000D2EB4">
        <w:t xml:space="preserve">Figure </w:t>
      </w:r>
      <w:r w:rsidR="000D2EB4">
        <w:rPr>
          <w:noProof/>
        </w:rPr>
        <w:t>32</w:t>
      </w:r>
      <w:r w:rsidR="004C78B9">
        <w:fldChar w:fldCharType="end"/>
      </w:r>
      <w:r w:rsidRPr="00E941B7">
        <w:t>.</w:t>
      </w:r>
    </w:p>
    <w:p w:rsidR="00404448" w:rsidRPr="00E941B7" w:rsidRDefault="00404448" w:rsidP="00404448"/>
    <w:p w:rsidR="00404448" w:rsidRDefault="000518AB" w:rsidP="00404448">
      <w:pPr>
        <w:keepNext/>
      </w:pPr>
      <w:r>
        <w:rPr>
          <w:rFonts w:ascii="Times New Roman" w:hAnsi="Times New Roman"/>
          <w:noProof/>
          <w:sz w:val="22"/>
        </w:rPr>
        <w:drawing>
          <wp:inline distT="0" distB="0" distL="0" distR="0">
            <wp:extent cx="5487290" cy="3423920"/>
            <wp:effectExtent l="6095" t="0" r="0" b="0"/>
            <wp:docPr id="37" name="O 2"/>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9002713" cy="5619750"/>
                      <a:chOff x="0" y="838200"/>
                      <a:chExt cx="9002713" cy="5619750"/>
                    </a:xfrm>
                  </a:grpSpPr>
                  <a:grpSp>
                    <a:nvGrpSpPr>
                      <a:cNvPr id="11" name="Group 10"/>
                      <a:cNvGrpSpPr/>
                    </a:nvGrpSpPr>
                    <a:grpSpPr>
                      <a:xfrm>
                        <a:off x="0" y="838200"/>
                        <a:ext cx="9002713" cy="5619750"/>
                        <a:chOff x="0" y="838200"/>
                        <a:chExt cx="9002713" cy="5619750"/>
                      </a:xfrm>
                    </a:grpSpPr>
                    <a:pic>
                      <a:nvPicPr>
                        <a:cNvPr id="17412" name="Picture 3" descr="zoo_straight_and_curved.tiff"/>
                        <a:cNvPicPr>
                          <a:picLocks noChangeAspect="1"/>
                        </a:cNvPicPr>
                      </a:nvPicPr>
                      <a:blipFill>
                        <a:blip r:embed="rId58"/>
                        <a:srcRect/>
                        <a:stretch>
                          <a:fillRect/>
                        </a:stretch>
                      </a:blipFill>
                      <a:spPr bwMode="auto">
                        <a:xfrm>
                          <a:off x="0" y="838200"/>
                          <a:ext cx="3044825" cy="5095875"/>
                        </a:xfrm>
                        <a:prstGeom prst="rect">
                          <a:avLst/>
                        </a:prstGeom>
                        <a:noFill/>
                        <a:ln w="9525">
                          <a:noFill/>
                          <a:miter lim="800000"/>
                          <a:headEnd/>
                          <a:tailEnd/>
                        </a:ln>
                      </a:spPr>
                    </a:pic>
                    <a:sp>
                      <a:nvSpPr>
                        <a:cNvPr id="17413" name="TextBox 8"/>
                        <a:cNvSpPr txBox="1">
                          <a:spLocks noChangeArrowheads="1"/>
                        </a:cNvSpPr>
                      </a:nvSpPr>
                      <a:spPr bwMode="auto">
                        <a:xfrm>
                          <a:off x="228600" y="5934075"/>
                          <a:ext cx="2587625" cy="523875"/>
                        </a:xfrm>
                        <a:prstGeom prst="rect">
                          <a:avLst/>
                        </a:prstGeom>
                        <a:noFill/>
                        <a:ln w="9525">
                          <a:noFill/>
                          <a:miter lim="800000"/>
                          <a:headEnd/>
                          <a:tailEnd/>
                        </a:ln>
                      </a:spPr>
                      <a:txSp>
                        <a:txBody>
                          <a:bodyPr>
                            <a:prstTxWarp prst="textNoShape">
                              <a:avLst/>
                            </a:prstTxWarp>
                            <a:spAutoFit/>
                          </a:bodyPr>
                          <a:lstStyle>
                            <a:defPPr>
                              <a:defRPr lang="en-US"/>
                            </a:defPPr>
                            <a:lvl1pPr algn="l" defTabSz="457200" rtl="0" fontAlgn="base">
                              <a:spcBef>
                                <a:spcPct val="0"/>
                              </a:spcBef>
                              <a:spcAft>
                                <a:spcPct val="0"/>
                              </a:spcAft>
                              <a:defRPr kern="1200">
                                <a:solidFill>
                                  <a:schemeClr val="tx1"/>
                                </a:solidFill>
                                <a:latin typeface="Arial" charset="0"/>
                                <a:ea typeface="ＭＳ Ｐゴシック" charset="-128"/>
                                <a:cs typeface="ＭＳ Ｐゴシック" charset="-128"/>
                              </a:defRPr>
                            </a:lvl1pPr>
                            <a:lvl2pPr marL="457200" algn="l" defTabSz="457200" rtl="0" fontAlgn="base">
                              <a:spcBef>
                                <a:spcPct val="0"/>
                              </a:spcBef>
                              <a:spcAft>
                                <a:spcPct val="0"/>
                              </a:spcAft>
                              <a:defRPr kern="1200">
                                <a:solidFill>
                                  <a:schemeClr val="tx1"/>
                                </a:solidFill>
                                <a:latin typeface="Arial" charset="0"/>
                                <a:ea typeface="ＭＳ Ｐゴシック" charset="-128"/>
                                <a:cs typeface="ＭＳ Ｐゴシック" charset="-128"/>
                              </a:defRPr>
                            </a:lvl2pPr>
                            <a:lvl3pPr marL="914400" algn="l" defTabSz="457200" rtl="0" fontAlgn="base">
                              <a:spcBef>
                                <a:spcPct val="0"/>
                              </a:spcBef>
                              <a:spcAft>
                                <a:spcPct val="0"/>
                              </a:spcAft>
                              <a:defRPr kern="1200">
                                <a:solidFill>
                                  <a:schemeClr val="tx1"/>
                                </a:solidFill>
                                <a:latin typeface="Arial" charset="0"/>
                                <a:ea typeface="ＭＳ Ｐゴシック" charset="-128"/>
                                <a:cs typeface="ＭＳ Ｐゴシック" charset="-128"/>
                              </a:defRPr>
                            </a:lvl3pPr>
                            <a:lvl4pPr marL="1371600" algn="l" defTabSz="457200" rtl="0" fontAlgn="base">
                              <a:spcBef>
                                <a:spcPct val="0"/>
                              </a:spcBef>
                              <a:spcAft>
                                <a:spcPct val="0"/>
                              </a:spcAft>
                              <a:defRPr kern="1200">
                                <a:solidFill>
                                  <a:schemeClr val="tx1"/>
                                </a:solidFill>
                                <a:latin typeface="Arial" charset="0"/>
                                <a:ea typeface="ＭＳ Ｐゴシック" charset="-128"/>
                                <a:cs typeface="ＭＳ Ｐゴシック" charset="-128"/>
                              </a:defRPr>
                            </a:lvl4pPr>
                            <a:lvl5pPr marL="1828800" algn="l" defTabSz="457200" rtl="0" fontAlgn="base">
                              <a:spcBef>
                                <a:spcPct val="0"/>
                              </a:spcBef>
                              <a:spcAft>
                                <a:spcPct val="0"/>
                              </a:spcAft>
                              <a:defRPr kern="1200">
                                <a:solidFill>
                                  <a:schemeClr val="tx1"/>
                                </a:solidFill>
                                <a:latin typeface="Arial" charset="0"/>
                                <a:ea typeface="ＭＳ Ｐゴシック" charset="-128"/>
                                <a:cs typeface="ＭＳ Ｐゴシック" charset="-128"/>
                              </a:defRPr>
                            </a:lvl5pPr>
                            <a:lvl6pPr marL="2286000" algn="l" defTabSz="457200" rtl="0" eaLnBrk="1" latinLnBrk="0" hangingPunct="1">
                              <a:defRPr kern="1200">
                                <a:solidFill>
                                  <a:schemeClr val="tx1"/>
                                </a:solidFill>
                                <a:latin typeface="Arial" charset="0"/>
                                <a:ea typeface="ＭＳ Ｐゴシック" charset="-128"/>
                                <a:cs typeface="ＭＳ Ｐゴシック" charset="-128"/>
                              </a:defRPr>
                            </a:lvl6pPr>
                            <a:lvl7pPr marL="2743200" algn="l" defTabSz="457200" rtl="0" eaLnBrk="1" latinLnBrk="0" hangingPunct="1">
                              <a:defRPr kern="1200">
                                <a:solidFill>
                                  <a:schemeClr val="tx1"/>
                                </a:solidFill>
                                <a:latin typeface="Arial" charset="0"/>
                                <a:ea typeface="ＭＳ Ｐゴシック" charset="-128"/>
                                <a:cs typeface="ＭＳ Ｐゴシック" charset="-128"/>
                              </a:defRPr>
                            </a:lvl7pPr>
                            <a:lvl8pPr marL="3200400" algn="l" defTabSz="457200" rtl="0" eaLnBrk="1" latinLnBrk="0" hangingPunct="1">
                              <a:defRPr kern="1200">
                                <a:solidFill>
                                  <a:schemeClr val="tx1"/>
                                </a:solidFill>
                                <a:latin typeface="Arial" charset="0"/>
                                <a:ea typeface="ＭＳ Ｐゴシック" charset="-128"/>
                                <a:cs typeface="ＭＳ Ｐゴシック" charset="-128"/>
                              </a:defRPr>
                            </a:lvl8pPr>
                            <a:lvl9pPr marL="3657600" algn="l" defTabSz="457200" rtl="0" eaLnBrk="1" latinLnBrk="0" hangingPunct="1">
                              <a:defRPr kern="1200">
                                <a:solidFill>
                                  <a:schemeClr val="tx1"/>
                                </a:solidFill>
                                <a:latin typeface="Arial" charset="0"/>
                                <a:ea typeface="ＭＳ Ｐゴシック" charset="-128"/>
                                <a:cs typeface="ＭＳ Ｐゴシック" charset="-128"/>
                              </a:defRPr>
                            </a:lvl9pPr>
                          </a:lstStyle>
                          <a:p>
                            <a:r>
                              <a:rPr lang="en-US" sz="1400" dirty="0"/>
                              <a:t>Long straight &amp; disconnected curve in close proximity</a:t>
                            </a:r>
                          </a:p>
                        </a:txBody>
                        <a:useSpRect/>
                      </a:txSp>
                    </a:sp>
                    <a:sp>
                      <a:nvSpPr>
                        <a:cNvPr id="17414" name="TextBox 10"/>
                        <a:cNvSpPr txBox="1">
                          <a:spLocks noChangeArrowheads="1"/>
                        </a:cNvSpPr>
                      </a:nvSpPr>
                      <a:spPr bwMode="auto">
                        <a:xfrm>
                          <a:off x="5988050" y="5934075"/>
                          <a:ext cx="3014663" cy="492125"/>
                        </a:xfrm>
                        <a:prstGeom prst="rect">
                          <a:avLst/>
                        </a:prstGeom>
                        <a:noFill/>
                        <a:ln w="9525">
                          <a:noFill/>
                          <a:miter lim="800000"/>
                          <a:headEnd/>
                          <a:tailEnd/>
                        </a:ln>
                      </a:spPr>
                      <a:txSp>
                        <a:txBody>
                          <a:bodyPr>
                            <a:prstTxWarp prst="textNoShape">
                              <a:avLst/>
                            </a:prstTxWarp>
                            <a:spAutoFit/>
                          </a:bodyPr>
                          <a:lstStyle>
                            <a:defPPr>
                              <a:defRPr lang="en-US"/>
                            </a:defPPr>
                            <a:lvl1pPr algn="l" defTabSz="457200" rtl="0" fontAlgn="base">
                              <a:spcBef>
                                <a:spcPct val="0"/>
                              </a:spcBef>
                              <a:spcAft>
                                <a:spcPct val="0"/>
                              </a:spcAft>
                              <a:defRPr kern="1200">
                                <a:solidFill>
                                  <a:schemeClr val="tx1"/>
                                </a:solidFill>
                                <a:latin typeface="Arial" charset="0"/>
                                <a:ea typeface="ＭＳ Ｐゴシック" charset="-128"/>
                                <a:cs typeface="ＭＳ Ｐゴシック" charset="-128"/>
                              </a:defRPr>
                            </a:lvl1pPr>
                            <a:lvl2pPr marL="457200" algn="l" defTabSz="457200" rtl="0" fontAlgn="base">
                              <a:spcBef>
                                <a:spcPct val="0"/>
                              </a:spcBef>
                              <a:spcAft>
                                <a:spcPct val="0"/>
                              </a:spcAft>
                              <a:defRPr kern="1200">
                                <a:solidFill>
                                  <a:schemeClr val="tx1"/>
                                </a:solidFill>
                                <a:latin typeface="Arial" charset="0"/>
                                <a:ea typeface="ＭＳ Ｐゴシック" charset="-128"/>
                                <a:cs typeface="ＭＳ Ｐゴシック" charset="-128"/>
                              </a:defRPr>
                            </a:lvl2pPr>
                            <a:lvl3pPr marL="914400" algn="l" defTabSz="457200" rtl="0" fontAlgn="base">
                              <a:spcBef>
                                <a:spcPct val="0"/>
                              </a:spcBef>
                              <a:spcAft>
                                <a:spcPct val="0"/>
                              </a:spcAft>
                              <a:defRPr kern="1200">
                                <a:solidFill>
                                  <a:schemeClr val="tx1"/>
                                </a:solidFill>
                                <a:latin typeface="Arial" charset="0"/>
                                <a:ea typeface="ＭＳ Ｐゴシック" charset="-128"/>
                                <a:cs typeface="ＭＳ Ｐゴシック" charset="-128"/>
                              </a:defRPr>
                            </a:lvl3pPr>
                            <a:lvl4pPr marL="1371600" algn="l" defTabSz="457200" rtl="0" fontAlgn="base">
                              <a:spcBef>
                                <a:spcPct val="0"/>
                              </a:spcBef>
                              <a:spcAft>
                                <a:spcPct val="0"/>
                              </a:spcAft>
                              <a:defRPr kern="1200">
                                <a:solidFill>
                                  <a:schemeClr val="tx1"/>
                                </a:solidFill>
                                <a:latin typeface="Arial" charset="0"/>
                                <a:ea typeface="ＭＳ Ｐゴシック" charset="-128"/>
                                <a:cs typeface="ＭＳ Ｐゴシック" charset="-128"/>
                              </a:defRPr>
                            </a:lvl4pPr>
                            <a:lvl5pPr marL="1828800" algn="l" defTabSz="457200" rtl="0" fontAlgn="base">
                              <a:spcBef>
                                <a:spcPct val="0"/>
                              </a:spcBef>
                              <a:spcAft>
                                <a:spcPct val="0"/>
                              </a:spcAft>
                              <a:defRPr kern="1200">
                                <a:solidFill>
                                  <a:schemeClr val="tx1"/>
                                </a:solidFill>
                                <a:latin typeface="Arial" charset="0"/>
                                <a:ea typeface="ＭＳ Ｐゴシック" charset="-128"/>
                                <a:cs typeface="ＭＳ Ｐゴシック" charset="-128"/>
                              </a:defRPr>
                            </a:lvl5pPr>
                            <a:lvl6pPr marL="2286000" algn="l" defTabSz="457200" rtl="0" eaLnBrk="1" latinLnBrk="0" hangingPunct="1">
                              <a:defRPr kern="1200">
                                <a:solidFill>
                                  <a:schemeClr val="tx1"/>
                                </a:solidFill>
                                <a:latin typeface="Arial" charset="0"/>
                                <a:ea typeface="ＭＳ Ｐゴシック" charset="-128"/>
                                <a:cs typeface="ＭＳ Ｐゴシック" charset="-128"/>
                              </a:defRPr>
                            </a:lvl6pPr>
                            <a:lvl7pPr marL="2743200" algn="l" defTabSz="457200" rtl="0" eaLnBrk="1" latinLnBrk="0" hangingPunct="1">
                              <a:defRPr kern="1200">
                                <a:solidFill>
                                  <a:schemeClr val="tx1"/>
                                </a:solidFill>
                                <a:latin typeface="Arial" charset="0"/>
                                <a:ea typeface="ＭＳ Ｐゴシック" charset="-128"/>
                                <a:cs typeface="ＭＳ Ｐゴシック" charset="-128"/>
                              </a:defRPr>
                            </a:lvl7pPr>
                            <a:lvl8pPr marL="3200400" algn="l" defTabSz="457200" rtl="0" eaLnBrk="1" latinLnBrk="0" hangingPunct="1">
                              <a:defRPr kern="1200">
                                <a:solidFill>
                                  <a:schemeClr val="tx1"/>
                                </a:solidFill>
                                <a:latin typeface="Arial" charset="0"/>
                                <a:ea typeface="ＭＳ Ｐゴシック" charset="-128"/>
                                <a:cs typeface="ＭＳ Ｐゴシック" charset="-128"/>
                              </a:defRPr>
                            </a:lvl8pPr>
                            <a:lvl9pPr marL="3657600" algn="l" defTabSz="457200" rtl="0" eaLnBrk="1" latinLnBrk="0" hangingPunct="1">
                              <a:defRPr kern="1200">
                                <a:solidFill>
                                  <a:schemeClr val="tx1"/>
                                </a:solidFill>
                                <a:latin typeface="Arial" charset="0"/>
                                <a:ea typeface="ＭＳ Ｐゴシック" charset="-128"/>
                                <a:cs typeface="ＭＳ Ｐゴシック" charset="-128"/>
                              </a:defRPr>
                            </a:lvl9pPr>
                          </a:lstStyle>
                          <a:p>
                            <a:r>
                              <a:rPr lang="en-US" sz="1400" dirty="0"/>
                              <a:t>Shotgun </a:t>
                            </a:r>
                            <a:r>
                              <a:rPr lang="en-US" sz="1200" dirty="0"/>
                              <a:t>– Channel 4.2 file kplr2009076002637_ffi-orig.fits</a:t>
                            </a:r>
                          </a:p>
                        </a:txBody>
                        <a:useSpRect/>
                      </a:txSp>
                    </a:sp>
                    <a:pic>
                      <a:nvPicPr>
                        <a:cNvPr id="17415" name="Picture 10" descr="zoo_shotgun.tiff"/>
                        <a:cNvPicPr>
                          <a:picLocks noChangeAspect="1"/>
                        </a:cNvPicPr>
                      </a:nvPicPr>
                      <a:blipFill>
                        <a:blip r:embed="rId59"/>
                        <a:srcRect/>
                        <a:stretch>
                          <a:fillRect/>
                        </a:stretch>
                      </a:blipFill>
                      <a:spPr bwMode="auto">
                        <a:xfrm>
                          <a:off x="5988050" y="838200"/>
                          <a:ext cx="3014663" cy="5095875"/>
                        </a:xfrm>
                        <a:prstGeom prst="rect">
                          <a:avLst/>
                        </a:prstGeom>
                        <a:noFill/>
                        <a:ln w="9525">
                          <a:noFill/>
                          <a:miter lim="800000"/>
                          <a:headEnd/>
                          <a:tailEnd/>
                        </a:ln>
                      </a:spPr>
                    </a:pic>
                    <a:pic>
                      <a:nvPicPr>
                        <a:cNvPr id="17416" name="Picture 12" descr="zoo_long_horiz.tiff"/>
                        <a:cNvPicPr>
                          <a:picLocks noChangeAspect="1"/>
                        </a:cNvPicPr>
                      </a:nvPicPr>
                      <a:blipFill>
                        <a:blip r:embed="rId60"/>
                        <a:srcRect/>
                        <a:stretch>
                          <a:fillRect/>
                        </a:stretch>
                      </a:blipFill>
                      <a:spPr bwMode="auto">
                        <a:xfrm>
                          <a:off x="2922588" y="838200"/>
                          <a:ext cx="3065462" cy="5105400"/>
                        </a:xfrm>
                        <a:prstGeom prst="rect">
                          <a:avLst/>
                        </a:prstGeom>
                        <a:noFill/>
                        <a:ln w="9525">
                          <a:noFill/>
                          <a:miter lim="800000"/>
                          <a:headEnd/>
                          <a:tailEnd/>
                        </a:ln>
                      </a:spPr>
                    </a:pic>
                    <a:sp>
                      <a:nvSpPr>
                        <a:cNvPr id="17417" name="TextBox 13"/>
                        <a:cNvSpPr txBox="1">
                          <a:spLocks noChangeArrowheads="1"/>
                        </a:cNvSpPr>
                      </a:nvSpPr>
                      <a:spPr bwMode="auto">
                        <a:xfrm>
                          <a:off x="2922588" y="5934075"/>
                          <a:ext cx="2919412" cy="307975"/>
                        </a:xfrm>
                        <a:prstGeom prst="rect">
                          <a:avLst/>
                        </a:prstGeom>
                        <a:noFill/>
                        <a:ln w="9525">
                          <a:noFill/>
                          <a:miter lim="800000"/>
                          <a:headEnd/>
                          <a:tailEnd/>
                        </a:ln>
                      </a:spPr>
                      <a:txSp>
                        <a:txBody>
                          <a:bodyPr wrap="none">
                            <a:prstTxWarp prst="textNoShape">
                              <a:avLst/>
                            </a:prstTxWarp>
                            <a:spAutoFit/>
                          </a:bodyPr>
                          <a:lstStyle>
                            <a:defPPr>
                              <a:defRPr lang="en-US"/>
                            </a:defPPr>
                            <a:lvl1pPr algn="l" defTabSz="457200" rtl="0" fontAlgn="base">
                              <a:spcBef>
                                <a:spcPct val="0"/>
                              </a:spcBef>
                              <a:spcAft>
                                <a:spcPct val="0"/>
                              </a:spcAft>
                              <a:defRPr kern="1200">
                                <a:solidFill>
                                  <a:schemeClr val="tx1"/>
                                </a:solidFill>
                                <a:latin typeface="Arial" charset="0"/>
                                <a:ea typeface="ＭＳ Ｐゴシック" charset="-128"/>
                                <a:cs typeface="ＭＳ Ｐゴシック" charset="-128"/>
                              </a:defRPr>
                            </a:lvl1pPr>
                            <a:lvl2pPr marL="457200" algn="l" defTabSz="457200" rtl="0" fontAlgn="base">
                              <a:spcBef>
                                <a:spcPct val="0"/>
                              </a:spcBef>
                              <a:spcAft>
                                <a:spcPct val="0"/>
                              </a:spcAft>
                              <a:defRPr kern="1200">
                                <a:solidFill>
                                  <a:schemeClr val="tx1"/>
                                </a:solidFill>
                                <a:latin typeface="Arial" charset="0"/>
                                <a:ea typeface="ＭＳ Ｐゴシック" charset="-128"/>
                                <a:cs typeface="ＭＳ Ｐゴシック" charset="-128"/>
                              </a:defRPr>
                            </a:lvl2pPr>
                            <a:lvl3pPr marL="914400" algn="l" defTabSz="457200" rtl="0" fontAlgn="base">
                              <a:spcBef>
                                <a:spcPct val="0"/>
                              </a:spcBef>
                              <a:spcAft>
                                <a:spcPct val="0"/>
                              </a:spcAft>
                              <a:defRPr kern="1200">
                                <a:solidFill>
                                  <a:schemeClr val="tx1"/>
                                </a:solidFill>
                                <a:latin typeface="Arial" charset="0"/>
                                <a:ea typeface="ＭＳ Ｐゴシック" charset="-128"/>
                                <a:cs typeface="ＭＳ Ｐゴシック" charset="-128"/>
                              </a:defRPr>
                            </a:lvl3pPr>
                            <a:lvl4pPr marL="1371600" algn="l" defTabSz="457200" rtl="0" fontAlgn="base">
                              <a:spcBef>
                                <a:spcPct val="0"/>
                              </a:spcBef>
                              <a:spcAft>
                                <a:spcPct val="0"/>
                              </a:spcAft>
                              <a:defRPr kern="1200">
                                <a:solidFill>
                                  <a:schemeClr val="tx1"/>
                                </a:solidFill>
                                <a:latin typeface="Arial" charset="0"/>
                                <a:ea typeface="ＭＳ Ｐゴシック" charset="-128"/>
                                <a:cs typeface="ＭＳ Ｐゴシック" charset="-128"/>
                              </a:defRPr>
                            </a:lvl4pPr>
                            <a:lvl5pPr marL="1828800" algn="l" defTabSz="457200" rtl="0" fontAlgn="base">
                              <a:spcBef>
                                <a:spcPct val="0"/>
                              </a:spcBef>
                              <a:spcAft>
                                <a:spcPct val="0"/>
                              </a:spcAft>
                              <a:defRPr kern="1200">
                                <a:solidFill>
                                  <a:schemeClr val="tx1"/>
                                </a:solidFill>
                                <a:latin typeface="Arial" charset="0"/>
                                <a:ea typeface="ＭＳ Ｐゴシック" charset="-128"/>
                                <a:cs typeface="ＭＳ Ｐゴシック" charset="-128"/>
                              </a:defRPr>
                            </a:lvl5pPr>
                            <a:lvl6pPr marL="2286000" algn="l" defTabSz="457200" rtl="0" eaLnBrk="1" latinLnBrk="0" hangingPunct="1">
                              <a:defRPr kern="1200">
                                <a:solidFill>
                                  <a:schemeClr val="tx1"/>
                                </a:solidFill>
                                <a:latin typeface="Arial" charset="0"/>
                                <a:ea typeface="ＭＳ Ｐゴシック" charset="-128"/>
                                <a:cs typeface="ＭＳ Ｐゴシック" charset="-128"/>
                              </a:defRPr>
                            </a:lvl6pPr>
                            <a:lvl7pPr marL="2743200" algn="l" defTabSz="457200" rtl="0" eaLnBrk="1" latinLnBrk="0" hangingPunct="1">
                              <a:defRPr kern="1200">
                                <a:solidFill>
                                  <a:schemeClr val="tx1"/>
                                </a:solidFill>
                                <a:latin typeface="Arial" charset="0"/>
                                <a:ea typeface="ＭＳ Ｐゴシック" charset="-128"/>
                                <a:cs typeface="ＭＳ Ｐゴシック" charset="-128"/>
                              </a:defRPr>
                            </a:lvl7pPr>
                            <a:lvl8pPr marL="3200400" algn="l" defTabSz="457200" rtl="0" eaLnBrk="1" latinLnBrk="0" hangingPunct="1">
                              <a:defRPr kern="1200">
                                <a:solidFill>
                                  <a:schemeClr val="tx1"/>
                                </a:solidFill>
                                <a:latin typeface="Arial" charset="0"/>
                                <a:ea typeface="ＭＳ Ｐゴシック" charset="-128"/>
                                <a:cs typeface="ＭＳ Ｐゴシック" charset="-128"/>
                              </a:defRPr>
                            </a:lvl8pPr>
                            <a:lvl9pPr marL="3657600" algn="l" defTabSz="457200" rtl="0" eaLnBrk="1" latinLnBrk="0" hangingPunct="1">
                              <a:defRPr kern="1200">
                                <a:solidFill>
                                  <a:schemeClr val="tx1"/>
                                </a:solidFill>
                                <a:latin typeface="Arial" charset="0"/>
                                <a:ea typeface="ＭＳ Ｐゴシック" charset="-128"/>
                                <a:cs typeface="ＭＳ Ｐゴシック" charset="-128"/>
                              </a:defRPr>
                            </a:lvl9pPr>
                          </a:lstStyle>
                          <a:p>
                            <a:r>
                              <a:rPr lang="en-US" sz="1400" dirty="0"/>
                              <a:t>Streak precisely aligned along row</a:t>
                            </a:r>
                          </a:p>
                        </a:txBody>
                        <a:useSpRect/>
                      </a:txSp>
                    </a:sp>
                  </a:grpSp>
                </lc:lockedCanvas>
              </a:graphicData>
            </a:graphic>
          </wp:inline>
        </w:drawing>
      </w:r>
    </w:p>
    <w:p w:rsidR="00404448" w:rsidRPr="00216EDE" w:rsidRDefault="00404448" w:rsidP="00404448">
      <w:pPr>
        <w:pStyle w:val="Caption"/>
        <w:outlineLvl w:val="0"/>
        <w:rPr>
          <w:rFonts w:ascii="Times New Roman" w:hAnsi="Times New Roman"/>
          <w:sz w:val="22"/>
        </w:rPr>
      </w:pPr>
      <w:bookmarkStart w:id="172" w:name="_Ref106253642"/>
      <w:bookmarkStart w:id="173" w:name="_Toc322942262"/>
      <w:r>
        <w:t xml:space="preserve">Figure </w:t>
      </w:r>
      <w:fldSimple w:instr=" SEQ Figure \* ARABIC ">
        <w:r w:rsidR="000D2EB4">
          <w:rPr>
            <w:noProof/>
          </w:rPr>
          <w:t>32</w:t>
        </w:r>
      </w:fldSimple>
      <w:bookmarkEnd w:id="172"/>
      <w:r>
        <w:t>:  Interesting Cosmic Ray Events seen in pre-DCE Commissioning data.</w:t>
      </w:r>
      <w:bookmarkEnd w:id="173"/>
    </w:p>
    <w:p w:rsidR="00404448" w:rsidRDefault="00404448" w:rsidP="00404448">
      <w:pPr>
        <w:pStyle w:val="Heading1"/>
      </w:pPr>
      <w:bookmarkStart w:id="174" w:name="_Ref108522333"/>
      <w:bookmarkStart w:id="175" w:name="_Ref205891608"/>
      <w:bookmarkStart w:id="176" w:name="_Ref201488538"/>
      <w:bookmarkStart w:id="177" w:name="_Ref201550458"/>
      <w:bookmarkStart w:id="178" w:name="_Toc322942189"/>
      <w:r>
        <w:t>Local Detector Electronics</w:t>
      </w:r>
      <w:bookmarkEnd w:id="174"/>
      <w:bookmarkEnd w:id="178"/>
      <w:r>
        <w:t xml:space="preserve"> </w:t>
      </w:r>
      <w:bookmarkEnd w:id="175"/>
    </w:p>
    <w:p w:rsidR="00404448" w:rsidRPr="00394F88" w:rsidRDefault="00404448" w:rsidP="00404448">
      <w:pPr>
        <w:pStyle w:val="Heading2"/>
        <w:rPr>
          <w:sz w:val="22"/>
        </w:rPr>
      </w:pPr>
      <w:bookmarkStart w:id="179" w:name="_Toc322942190"/>
      <w:r w:rsidRPr="00394F88">
        <w:rPr>
          <w:sz w:val="22"/>
        </w:rPr>
        <w:t>Description</w:t>
      </w:r>
      <w:bookmarkEnd w:id="179"/>
    </w:p>
    <w:p w:rsidR="00404448" w:rsidRDefault="00404448" w:rsidP="00404448">
      <w:r>
        <w:t xml:space="preserve">The Local Detector Electronics clocks the CCDs, digitizes their output, and transmits the single-frame data to the Science Data Accumulator (SDA) where the DN for each pixel are coadded.  The LDE operates both the science CCDs and the FGS CCDs in such a way that precisely 5 FGS frames occur during a </w:t>
      </w:r>
      <w:r w:rsidR="006A0AE0">
        <w:t>0.52</w:t>
      </w:r>
      <w:r>
        <w:t xml:space="preserve"> s science readout.  The CCDs may be run with their parallel clocks reversed, called ‘Reverse Clock’ or ‘Test’ State of </w:t>
      </w:r>
      <w:r w:rsidR="00A81525">
        <w:t xml:space="preserve">the LDE, in order to sweep </w:t>
      </w:r>
      <w:r>
        <w:t>current away from the outpu</w:t>
      </w:r>
      <w:r w:rsidR="00A81525">
        <w:t xml:space="preserve">t amplifier and permit </w:t>
      </w:r>
      <w:r>
        <w:t>noise measurements on the CCDs</w:t>
      </w:r>
      <w:r w:rsidR="00A81525">
        <w:t xml:space="preserve"> when warm or illuminated</w:t>
      </w:r>
      <w:r>
        <w:t>.  There are two redundant sets of electronics inside the same chassis, not surprisingly called ‘Side 1’ and ‘Side 2’.  The LDE is redundant between the input of the A/D converter and the output of the LDE, but single-string between the CCD and the input of the A/D converter.  Side 2 has somewhat better performance, so most ground test data collection has concentrated on Side 2 to characterize it in detail, while Side 1 has been tested, in most cases, for noise and functionality only.</w:t>
      </w:r>
      <w:r w:rsidR="007A48A5">
        <w:t xml:space="preserve">  Only Side 2 was used in flight.</w:t>
      </w:r>
    </w:p>
    <w:p w:rsidR="00820781" w:rsidRDefault="004C78B9" w:rsidP="00404448">
      <w:r>
        <w:fldChar w:fldCharType="begin"/>
      </w:r>
      <w:r w:rsidR="00C903B6">
        <w:instrText xml:space="preserve"> REF _Ref105476576 \h </w:instrText>
      </w:r>
      <w:r>
        <w:fldChar w:fldCharType="separate"/>
      </w:r>
      <w:r w:rsidR="000D2EB4">
        <w:t xml:space="preserve">Figure </w:t>
      </w:r>
      <w:r w:rsidR="000D2EB4">
        <w:rPr>
          <w:noProof/>
        </w:rPr>
        <w:t>33</w:t>
      </w:r>
      <w:r>
        <w:fldChar w:fldCharType="end"/>
      </w:r>
      <w:r w:rsidR="00404448">
        <w:t xml:space="preserve"> shows a cutaway view of the integrated LDE chassis with the CCD flex cable components of the module interface. Spacecraft power is provided to the LDE Power Supply (LPS) from the bus control assembly (BCA).  The LPS generates load regulated, low ripple power to the LDE with optimized voltages to allow a LDE power dissipation ~100W.  </w:t>
      </w:r>
    </w:p>
    <w:p w:rsidR="00820781" w:rsidRDefault="00820781" w:rsidP="00820781">
      <w:pPr>
        <w:outlineLvl w:val="0"/>
      </w:pPr>
      <w:r>
        <w:t xml:space="preserve">The Driver board </w:t>
      </w:r>
    </w:p>
    <w:p w:rsidR="00820781" w:rsidRDefault="00820781" w:rsidP="00820781">
      <w:pPr>
        <w:numPr>
          <w:ilvl w:val="0"/>
          <w:numId w:val="40"/>
        </w:numPr>
      </w:pPr>
      <w:r>
        <w:t>Generates the parallel and serial clock waveforms and bias voltages to operate the CCD,</w:t>
      </w:r>
    </w:p>
    <w:p w:rsidR="00820781" w:rsidRDefault="00820781" w:rsidP="00820781">
      <w:pPr>
        <w:numPr>
          <w:ilvl w:val="0"/>
          <w:numId w:val="40"/>
        </w:numPr>
      </w:pPr>
      <w:r>
        <w:t>Conditions the CCD video signal for the LDE Acquisition board, and</w:t>
      </w:r>
    </w:p>
    <w:p w:rsidR="00820781" w:rsidRDefault="00820781" w:rsidP="00820781">
      <w:pPr>
        <w:numPr>
          <w:ilvl w:val="0"/>
          <w:numId w:val="40"/>
        </w:numPr>
      </w:pPr>
      <w:r>
        <w:t xml:space="preserve">Conditions and digitizes the thermometry signals from the CCD modules, ECA boards and the heat spreader.  </w:t>
      </w:r>
    </w:p>
    <w:p w:rsidR="00820781" w:rsidRDefault="00820781" w:rsidP="00820781">
      <w:r>
        <w:t>The Acquisition board with block redundant FPGAs performs the following functions:</w:t>
      </w:r>
    </w:p>
    <w:p w:rsidR="00820781" w:rsidRDefault="00820781" w:rsidP="00820781">
      <w:pPr>
        <w:numPr>
          <w:ilvl w:val="0"/>
          <w:numId w:val="40"/>
        </w:numPr>
      </w:pPr>
      <w:r>
        <w:t>Generates the CCD control timing for the driver board,</w:t>
      </w:r>
    </w:p>
    <w:p w:rsidR="00820781" w:rsidRDefault="00820781" w:rsidP="00820781">
      <w:pPr>
        <w:numPr>
          <w:ilvl w:val="0"/>
          <w:numId w:val="40"/>
        </w:numPr>
      </w:pPr>
      <w:r>
        <w:t>Processes the video signal from the driver board through the correlated double sample (CDS) and ADC signal processing chain,</w:t>
      </w:r>
    </w:p>
    <w:p w:rsidR="00820781" w:rsidRDefault="00820781" w:rsidP="00820781">
      <w:pPr>
        <w:numPr>
          <w:ilvl w:val="0"/>
          <w:numId w:val="40"/>
        </w:numPr>
      </w:pPr>
      <w:r>
        <w:t>Generates Science and FGS pixel data by encoding the ADC data with synchronization words into serial words transmitted through redundant low voltage differential signal (LVDS) interfaces,</w:t>
      </w:r>
    </w:p>
    <w:p w:rsidR="00820781" w:rsidRDefault="00820781" w:rsidP="00820781">
      <w:pPr>
        <w:numPr>
          <w:ilvl w:val="0"/>
          <w:numId w:val="40"/>
        </w:numPr>
      </w:pPr>
      <w:r>
        <w:t>Provides the telemetry and command interface for the KCB, and</w:t>
      </w:r>
    </w:p>
    <w:p w:rsidR="00820781" w:rsidRDefault="00820781" w:rsidP="00820781">
      <w:pPr>
        <w:numPr>
          <w:ilvl w:val="0"/>
          <w:numId w:val="40"/>
        </w:numPr>
      </w:pPr>
      <w:r>
        <w:t xml:space="preserve">Generates stable programmable integration and cadence timing for transit observations.  </w:t>
      </w:r>
    </w:p>
    <w:p w:rsidR="00820781" w:rsidRDefault="00820781" w:rsidP="00820781">
      <w:pPr>
        <w:pStyle w:val="ListParagraph"/>
        <w:numPr>
          <w:ilvl w:val="0"/>
          <w:numId w:val="40"/>
        </w:numPr>
      </w:pPr>
      <w:r>
        <w:t xml:space="preserve">The semi-rigid motherboard distributes input power from the LPS to the five ECAs and provides digital data routing to the </w:t>
      </w:r>
      <w:r w:rsidRPr="00820781">
        <w:rPr>
          <w:i/>
        </w:rPr>
        <w:t>Kepler</w:t>
      </w:r>
      <w:r>
        <w:t xml:space="preserve"> control box (KCB) through controlled impedance differential signal pairs.  </w:t>
      </w:r>
    </w:p>
    <w:p w:rsidR="00404448" w:rsidRDefault="00820781" w:rsidP="00404448">
      <w:r w:rsidRPr="00820781">
        <w:t>The semi-rigid motherboard distributes input power from the LPS to the five ECAs and provides digital data routing to the Kepler control box (KCB) through controlled impedance differential signal pairs.</w:t>
      </w:r>
    </w:p>
    <w:p w:rsidR="00404448" w:rsidRDefault="00404448" w:rsidP="00404448"/>
    <w:p w:rsidR="00404448" w:rsidRDefault="004C78B9" w:rsidP="00404448">
      <w:pPr>
        <w:keepNext/>
      </w:pPr>
      <w:r>
        <w:pict>
          <v:shape id="_x0000_i1030" type="#_x0000_t75" style="width:443.15pt;height:425.85pt" filled="t">
            <v:imagedata r:id="rId61" o:title=""/>
          </v:shape>
        </w:pict>
      </w:r>
    </w:p>
    <w:p w:rsidR="00404448" w:rsidRDefault="00404448" w:rsidP="00404448">
      <w:pPr>
        <w:pStyle w:val="Caption"/>
        <w:outlineLvl w:val="0"/>
      </w:pPr>
      <w:bookmarkStart w:id="180" w:name="_Ref105476576"/>
      <w:bookmarkStart w:id="181" w:name="_Toc322942263"/>
      <w:r>
        <w:t xml:space="preserve">Figure </w:t>
      </w:r>
      <w:fldSimple w:instr=" SEQ Figure \* ARABIC ">
        <w:r w:rsidR="000D2EB4">
          <w:rPr>
            <w:noProof/>
          </w:rPr>
          <w:t>33</w:t>
        </w:r>
      </w:fldSimple>
      <w:bookmarkEnd w:id="180"/>
      <w:r>
        <w:t>:  Cutaway view of LDE.</w:t>
      </w:r>
      <w:bookmarkEnd w:id="181"/>
    </w:p>
    <w:p w:rsidR="00404448" w:rsidRDefault="00404448" w:rsidP="00404448">
      <w:r>
        <w:t xml:space="preserve">The LDE circuit mapping and time slice locations are shown in </w:t>
      </w:r>
      <w:r w:rsidR="004C78B9">
        <w:fldChar w:fldCharType="begin"/>
      </w:r>
      <w:r w:rsidR="00C903B6">
        <w:instrText xml:space="preserve"> REF _Ref109056365 \h </w:instrText>
      </w:r>
      <w:r w:rsidR="004C78B9">
        <w:fldChar w:fldCharType="separate"/>
      </w:r>
      <w:r w:rsidR="000D2EB4">
        <w:t xml:space="preserve">Figure </w:t>
      </w:r>
      <w:r w:rsidR="000D2EB4">
        <w:rPr>
          <w:noProof/>
        </w:rPr>
        <w:t>34</w:t>
      </w:r>
      <w:r w:rsidR="004C78B9">
        <w:fldChar w:fldCharType="end"/>
      </w:r>
      <w:r>
        <w:t>. Each ECA has interfaces for 5 CCD modules (either Science or FGS); the CCD interface number ranges from 1 to 5.  For example, CCD input 2 on ECA 501 is labeled ECA501_CCD2 in the Figure.  Two ECAs service three Science modules and two FGS modules, while the other three ECAs exclusively attend to five Science modules.  For example, ECA500 has 2 FGS interfaces, ECA500_CCD1 and ECA500_CCD5, with the rest Science modules.  Every Science module channel has a dedicated preamplifier on the driver board. On the acquisition board, there are only four Science signal processing chains which operate simultaneously, so that each signal processing chain is assigned to a module output.  The module read outs are staggered in time slices separated by 0.6</w:t>
      </w:r>
      <w:r w:rsidR="009B6583">
        <w:t>2</w:t>
      </w:r>
      <w:r>
        <w:t xml:space="preserve"> seconds; for each time slice, a multiplexer on the acquisition board routes the video from the currently read out module to the appropriate signal processing channel.  For example, the Figure shows that modules 8, 15, 17, and 24 are on the same time slice.   Knowledge of time slice gives a time stamp with an uncertainty (0.52 s) much smaller than the</w:t>
      </w:r>
      <w:r w:rsidRPr="00B300E6">
        <w:t xml:space="preserve"> </w:t>
      </w:r>
      <w:r>
        <w:t xml:space="preserve">typical </w:t>
      </w:r>
      <w:r w:rsidR="002F69F3">
        <w:t>58.85</w:t>
      </w:r>
      <w:r>
        <w:t xml:space="preserve"> s</w:t>
      </w:r>
      <w:r w:rsidRPr="00B300E6">
        <w:t xml:space="preserve"> total short ca</w:t>
      </w:r>
      <w:r>
        <w:t xml:space="preserve">dence integration time. </w:t>
      </w:r>
      <w:r w:rsidR="003945D5">
        <w:t>See KAM §2.1.2 and KDCH §6 for further discussion of timing.</w:t>
      </w:r>
      <w:r>
        <w:t xml:space="preserve"> </w:t>
      </w:r>
    </w:p>
    <w:p w:rsidR="00404448" w:rsidRDefault="004C78B9" w:rsidP="00404448">
      <w:pPr>
        <w:keepNext/>
      </w:pPr>
      <w:r>
        <w:pict>
          <v:group id="_x0000_s1700" style="width:468pt;height:344.1pt;mso-position-horizontal-relative:char;mso-position-vertical-relative:line" coordorigin="2526,3402" coordsize="9785,7194">
            <o:lock v:ext="edit" aspectratio="t"/>
            <v:shape id="_x0000_s1701" type="#_x0000_t75" style="position:absolute;left:2526;top:3402;width:9785;height:7194" o:preferrelative="f">
              <v:fill o:detectmouseclick="t"/>
              <v:path o:extrusionok="t" o:connecttype="none"/>
              <o:lock v:ext="edit" text="t"/>
            </v:shape>
            <v:shape id="_x0000_s1702" type="#_x0000_t75" style="position:absolute;left:2526;top:3402;width:9785;height:7194" fillcolor="#bbe0e3">
              <v:imagedata r:id="rId62" o:title=""/>
            </v:shape>
            <v:rect id="_x0000_s1703" style="position:absolute;left:4507;top:10191;width:973;height:223;v-text-anchor:middle" fillcolor="#eaeaea"/>
            <w10:wrap type="none"/>
            <w10:anchorlock/>
          </v:group>
        </w:pict>
      </w:r>
    </w:p>
    <w:p w:rsidR="00404448" w:rsidRDefault="00404448" w:rsidP="00404448">
      <w:pPr>
        <w:pStyle w:val="Caption"/>
      </w:pPr>
      <w:bookmarkStart w:id="182" w:name="_Ref109056365"/>
      <w:bookmarkStart w:id="183" w:name="_Toc322942264"/>
      <w:r>
        <w:t xml:space="preserve">Figure </w:t>
      </w:r>
      <w:fldSimple w:instr=" SEQ Figure \* ARABIC ">
        <w:r w:rsidR="000D2EB4">
          <w:rPr>
            <w:noProof/>
          </w:rPr>
          <w:t>34</w:t>
        </w:r>
      </w:fldSimple>
      <w:bookmarkEnd w:id="182"/>
      <w:r>
        <w:t xml:space="preserve">:  LDE Circuit Mapping and Time Slice Locations.  Each module is labeled by FPA number (also called module number), ECA and CCD interface number, and time slice.  Each of the 4 outputs for each module is shown by a number 1-4 in each quadrant of the module.  This Figure complements </w:t>
      </w:r>
      <w:r w:rsidR="004C78B9">
        <w:fldChar w:fldCharType="begin"/>
      </w:r>
      <w:r w:rsidR="00C903B6">
        <w:instrText xml:space="preserve"> REF _Ref205722006 \h </w:instrText>
      </w:r>
      <w:r w:rsidR="004C78B9">
        <w:fldChar w:fldCharType="separate"/>
      </w:r>
      <w:r w:rsidR="000D2EB4">
        <w:t xml:space="preserve">Figure </w:t>
      </w:r>
      <w:r w:rsidR="000D2EB4">
        <w:rPr>
          <w:noProof/>
        </w:rPr>
        <w:t>24</w:t>
      </w:r>
      <w:r w:rsidR="004C78B9">
        <w:fldChar w:fldCharType="end"/>
      </w:r>
      <w:r>
        <w:t>.  The view in the spacecraft +X direction is from the primary mirror towards the corrector.</w:t>
      </w:r>
      <w:bookmarkEnd w:id="183"/>
    </w:p>
    <w:p w:rsidR="00404448" w:rsidRDefault="00404448" w:rsidP="00404448">
      <w:r>
        <w:t xml:space="preserve">At the Science pixel read-out rate of 3 MHz, the read out time for each channel is </w:t>
      </w:r>
      <w:r w:rsidR="006A0AE0">
        <w:t>0.52</w:t>
      </w:r>
      <w:r>
        <w:t xml:space="preserve"> seconds.  All 4 outputs in a given module are read at the same time.  The entire array can be read out in a minimum of </w:t>
      </w:r>
      <w:r w:rsidR="00DB5B5A">
        <w:t>3.1</w:t>
      </w:r>
      <w:r w:rsidR="002D5C5F">
        <w:t>2</w:t>
      </w:r>
      <w:r>
        <w:t xml:space="preserve"> s for each time slice.  A programmable delay appended to the end of the module read out cycle allows a maximum integration time of 8 seconds.  During this delay, photons are collected but the CCD clocks are paused and no data is digitized.  Each FGS module has a dedicated signal processing chain on the acquisition board so that each FGS module is continuously read out every 0.104 seconds.  While the serial transfer rate for the Science and FGS modules are identical, the per line transfer duration and rates are different.  This causes clock to video crosstalk between the Science and FGS modules as discussed in </w:t>
      </w:r>
      <w:r w:rsidR="00E607E6">
        <w:t>§</w:t>
      </w:r>
      <w:r w:rsidR="004C78B9">
        <w:fldChar w:fldCharType="begin"/>
      </w:r>
      <w:r w:rsidR="00C903B6">
        <w:instrText xml:space="preserve"> REF _Ref208742817 \r \h </w:instrText>
      </w:r>
      <w:r w:rsidR="004C78B9">
        <w:fldChar w:fldCharType="separate"/>
      </w:r>
      <w:r w:rsidR="000D2EB4">
        <w:t>6.1</w:t>
      </w:r>
      <w:r w:rsidR="004C78B9">
        <w:fldChar w:fldCharType="end"/>
      </w:r>
      <w:r>
        <w:t>.</w:t>
      </w:r>
    </w:p>
    <w:p w:rsidR="00404448" w:rsidRPr="00394F88" w:rsidRDefault="00404448" w:rsidP="00404448">
      <w:pPr>
        <w:pStyle w:val="Heading2"/>
        <w:rPr>
          <w:sz w:val="22"/>
        </w:rPr>
      </w:pPr>
      <w:bookmarkStart w:id="184" w:name="_Toc322942191"/>
      <w:r w:rsidRPr="00394F88">
        <w:rPr>
          <w:sz w:val="22"/>
        </w:rPr>
        <w:t>Clocks and Sampling</w:t>
      </w:r>
      <w:bookmarkEnd w:id="184"/>
    </w:p>
    <w:p w:rsidR="00404448" w:rsidRPr="00B80E30" w:rsidRDefault="00404448" w:rsidP="00404448">
      <w:r>
        <w:t xml:space="preserve">CCDs </w:t>
      </w:r>
      <w:r w:rsidRPr="00B80E30">
        <w:t>require a large number of complex waveforms for inputs and for use in signal processing of the analog output signals.</w:t>
      </w:r>
      <w:r>
        <w:t xml:space="preserve">  Collectively, these waveforms are called </w:t>
      </w:r>
      <w:r w:rsidRPr="00B80E30">
        <w:rPr>
          <w:i/>
        </w:rPr>
        <w:t>clocking patterns</w:t>
      </w:r>
      <w:r>
        <w:t xml:space="preserve">.  They are specified in integer multiples of the 48 MHz master clock, and one pixel period is 16 master clock cycles = 333 ns.  Parallel clocks move a row of charge packets towards the serial register; the parallel transfer period, or time required to advance the pixels by one row, is 323 pixel periods, during which no data is digitized.  After a row is advanced into the serial register, serial clocks move charge packets (pixel values) to the on-chip output amplifier.  It takes 1132 pixel periods to read out that row.  The total line period is then 1455 pixel periods, or a line rate of 2064 Hz.    Finally, the Clamp On, Clamp Off, and A/D Convert clocks regulate the timing of sampling and holding the correlated double sampling (CDS) signal, and converting it to digital numbers. </w:t>
      </w:r>
    </w:p>
    <w:p w:rsidR="00404448" w:rsidRDefault="00404448" w:rsidP="00404448">
      <w:r>
        <w:t xml:space="preserve">In addition to the nominal forward clocked Science acquisition mode, a test mode that reverse clocks the CCD modules facilitates read noise measurements for room temperature operation, or for cold CCD measurements when the focal plane is illuminated with stars.  </w:t>
      </w:r>
    </w:p>
    <w:p w:rsidR="00404448" w:rsidRDefault="00404448" w:rsidP="00404448">
      <w:r>
        <w:t>When the Science CCD modules are forward clocked, the electrical charge injection feature present in the Science module can be activated by asserting the Charge Injection clock, to inject charge for four consecutive lines with a signal level ~40% of full well.  Charge injection is used to fill radiation induced traps in the parallel gates, thereby improving the parallel CTE.  The charge injection feature is also used as a system gain and undershoot (</w:t>
      </w:r>
      <w:r w:rsidR="00E607E6">
        <w:t>§</w:t>
      </w:r>
      <w:r w:rsidR="004C78B9">
        <w:fldChar w:fldCharType="begin"/>
      </w:r>
      <w:r w:rsidR="00C903B6">
        <w:instrText xml:space="preserve"> REF _Ref202070180 \r \h </w:instrText>
      </w:r>
      <w:r w:rsidR="004C78B9">
        <w:fldChar w:fldCharType="separate"/>
      </w:r>
      <w:r w:rsidR="000D2EB4">
        <w:t>6.5.2</w:t>
      </w:r>
      <w:r w:rsidR="004C78B9">
        <w:fldChar w:fldCharType="end"/>
      </w:r>
      <w:r>
        <w:t>) monitor.  Charge injection appears as a roughly uniform signal of ~4000 DN/frame between rows 1059 and 1062 of each channel, excluding the virtual pixels.</w:t>
      </w:r>
    </w:p>
    <w:p w:rsidR="00404448" w:rsidRDefault="00404448" w:rsidP="00404448">
      <w:pPr>
        <w:pStyle w:val="Heading1"/>
      </w:pPr>
      <w:bookmarkStart w:id="185" w:name="_Ref109059936"/>
      <w:bookmarkStart w:id="186" w:name="_Ref109120119"/>
      <w:bookmarkStart w:id="187" w:name="_Toc322942192"/>
      <w:r>
        <w:t>Electronic Image Artifacts and Their Mitigation</w:t>
      </w:r>
      <w:bookmarkEnd w:id="176"/>
      <w:bookmarkEnd w:id="177"/>
      <w:bookmarkEnd w:id="185"/>
      <w:bookmarkEnd w:id="186"/>
      <w:bookmarkEnd w:id="187"/>
    </w:p>
    <w:p w:rsidR="00404448" w:rsidRDefault="00404448" w:rsidP="00404448">
      <w:r>
        <w:t xml:space="preserve">Ideally, the images produced by the LDE would contain only those features described in </w:t>
      </w:r>
      <w:r w:rsidR="00E607E6">
        <w:t>§</w:t>
      </w:r>
      <w:r w:rsidR="004C78B9">
        <w:fldChar w:fldCharType="begin"/>
      </w:r>
      <w:r w:rsidR="00C903B6">
        <w:instrText xml:space="preserve"> REF _Ref202070603 \r \h </w:instrText>
      </w:r>
      <w:r w:rsidR="004C78B9">
        <w:fldChar w:fldCharType="separate"/>
      </w:r>
      <w:r w:rsidR="000D2EB4">
        <w:t>4</w:t>
      </w:r>
      <w:r w:rsidR="004C78B9">
        <w:fldChar w:fldCharType="end"/>
      </w:r>
      <w:r>
        <w:t xml:space="preserve">, around which the baseline data </w:t>
      </w:r>
      <w:r w:rsidR="00144D91">
        <w:t>processing pipeline</w:t>
      </w:r>
      <w:r>
        <w:t xml:space="preserve"> was designed (see </w:t>
      </w:r>
      <w:r w:rsidR="00F9242A">
        <w:t>KDPH</w:t>
      </w:r>
      <w:r>
        <w:t xml:space="preserve">).  The actual LDE introduces additional features into the images, which </w:t>
      </w:r>
      <w:r w:rsidR="00677A7D">
        <w:t xml:space="preserve">are </w:t>
      </w:r>
      <w:r>
        <w:t>called Artifacts, which have the potential to corrupt the photometric accuracy because either their amplitude changes with time and LDE temperature, or their location changes with telescope jitter and drift, or both amplitude and location change.  The Artifacts may be scene-independent, and are hence present in dark images collected before Dust Cover Ejection; or they may be scene-dependent, in which case the Artifact amplitudes and positions can depend not only on the amplitude and position of the target, but of nearby sources as well.  Artifacts must be treated in one of 3 ways:</w:t>
      </w:r>
    </w:p>
    <w:p w:rsidR="00404448" w:rsidRDefault="00404448" w:rsidP="00404448">
      <w:pPr>
        <w:numPr>
          <w:ilvl w:val="0"/>
          <w:numId w:val="42"/>
        </w:numPr>
      </w:pPr>
      <w:r>
        <w:t xml:space="preserve">Show Artifacts to be negligible </w:t>
      </w:r>
      <w:r w:rsidRPr="00E371BE">
        <w:rPr>
          <w:i/>
        </w:rPr>
        <w:t>in photometric time series</w:t>
      </w:r>
      <w:r>
        <w:rPr>
          <w:i/>
        </w:rPr>
        <w:t xml:space="preserve"> on time scales relevant to transits (1-48 hr)</w:t>
      </w:r>
      <w:r>
        <w:t>.  The components of an Artifact which do not change with LDE temperature, time, or telescope pointing on 1-48 hr timescales may be detectable, but are inconsequent</w:t>
      </w:r>
      <w:r w:rsidR="0081699B">
        <w:t>ial for photometric time series,</w:t>
      </w:r>
      <w:r>
        <w:t xml:space="preserve">    </w:t>
      </w:r>
    </w:p>
    <w:p w:rsidR="00404448" w:rsidRDefault="0081699B" w:rsidP="00404448">
      <w:pPr>
        <w:numPr>
          <w:ilvl w:val="0"/>
          <w:numId w:val="42"/>
        </w:numPr>
      </w:pPr>
      <w:r>
        <w:t>Correct</w:t>
      </w:r>
      <w:r w:rsidR="00404448">
        <w:t xml:space="preserve"> Artifacts in data analysis</w:t>
      </w:r>
      <w:r>
        <w:t>, or</w:t>
      </w:r>
    </w:p>
    <w:p w:rsidR="00404448" w:rsidRDefault="00404448" w:rsidP="00404448">
      <w:pPr>
        <w:numPr>
          <w:ilvl w:val="0"/>
          <w:numId w:val="42"/>
        </w:numPr>
      </w:pPr>
      <w:r>
        <w:t>Detect and flag data as suspect because of uncorrected Artifacts.</w:t>
      </w:r>
    </w:p>
    <w:p w:rsidR="00404448" w:rsidRDefault="00404448" w:rsidP="00404448">
      <w:r>
        <w:t xml:space="preserve">A working definition of “negligible” is that the Artifact contributes a false signal of peak-to-peak amplitude &lt; 20 ppm, which is much less than the 84 ppm amplitude of an Earth-sized planet transiting a </w:t>
      </w:r>
      <w:r w:rsidR="00F20B97">
        <w:t>12</w:t>
      </w:r>
      <w:r w:rsidR="00D55E1D" w:rsidRPr="00D55E1D">
        <w:rPr>
          <w:vertAlign w:val="superscript"/>
        </w:rPr>
        <w:t>th</w:t>
      </w:r>
      <w:r w:rsidR="00F20B97">
        <w:t xml:space="preserve"> magnitude </w:t>
      </w:r>
      <w:r>
        <w:t xml:space="preserve">G2V star.  Since such </w:t>
      </w:r>
      <w:r w:rsidR="0081699B">
        <w:t xml:space="preserve">a </w:t>
      </w:r>
      <w:r>
        <w:t xml:space="preserve">star produces a signal of about 12700 DN per frame, and </w:t>
      </w:r>
      <w:r w:rsidR="00F20B97">
        <w:t xml:space="preserve">its  </w:t>
      </w:r>
      <w:r>
        <w:t>optimal aperture contains about 16 pixels, an artifact must be considered significant if its amplitude is greater than 0.016 DN/pixel/frame or 4.3 DN/pixel/LC.  While artifacts of this amplitude cannot be seen in individual pixels in individual FFIs, they can be detected by averaging rows or columns, forming average images out of many FFIs, or by Fourier transforms of rows of pixels.</w:t>
      </w:r>
    </w:p>
    <w:p w:rsidR="00404448" w:rsidRPr="007C7595" w:rsidRDefault="00404448" w:rsidP="00404448">
      <w:r>
        <w:t>This Section presents a description of the Artifacts so that observers can assess the efficacy of these three treatments at a particular point in Pipeline development for the science that they wish to do; and devise specialized post-Pipeline tools if necessary.</w:t>
      </w:r>
    </w:p>
    <w:p w:rsidR="00404448" w:rsidRPr="00394F88" w:rsidRDefault="00404448" w:rsidP="00404448">
      <w:pPr>
        <w:pStyle w:val="Heading2"/>
        <w:rPr>
          <w:sz w:val="22"/>
        </w:rPr>
      </w:pPr>
      <w:bookmarkStart w:id="188" w:name="_Ref202070964"/>
      <w:bookmarkStart w:id="189" w:name="_Ref208742817"/>
      <w:bookmarkStart w:id="190" w:name="_Toc322942193"/>
      <w:r w:rsidRPr="00394F88">
        <w:rPr>
          <w:sz w:val="22"/>
        </w:rPr>
        <w:t>LDE Temperature</w:t>
      </w:r>
      <w:bookmarkEnd w:id="190"/>
    </w:p>
    <w:p w:rsidR="00404448" w:rsidRDefault="00404448" w:rsidP="00404448">
      <w:r>
        <w:t xml:space="preserve">The single most significant factor so far identified in determining the amplitude and location of Artifacts is the LDE board temperatures, which are proxies for the amplifier temperatures which are not directly measured.  Not only do the gross features of an Artifact depend on the temperature of the boards, which are thermal averages over a timescale of minutes, but the features of an Artifact </w:t>
      </w:r>
      <w:r w:rsidRPr="00DD2B51">
        <w:rPr>
          <w:i/>
        </w:rPr>
        <w:t>within</w:t>
      </w:r>
      <w:r>
        <w:t xml:space="preserve"> a Channel depend on the transient heating of the amplifier between the time when it is turned on 104 ms before reading a channel, and </w:t>
      </w:r>
      <w:r w:rsidR="00CB411E">
        <w:t>when it has completed a read 519</w:t>
      </w:r>
      <w:r>
        <w:t xml:space="preserve"> ms later.  This is because the thermal time constant of the active part of the amplifier is much less then the thermal time constant of the boards.  Even more remarkably, the temperature of this amplifier depends on instantaneous signal level, so Artifacts can be excited locally by saturating sources as shown in </w:t>
      </w:r>
      <w:r w:rsidR="00E607E6">
        <w:t>§</w:t>
      </w:r>
      <w:r w:rsidR="004C78B9">
        <w:fldChar w:fldCharType="begin"/>
      </w:r>
      <w:r w:rsidR="00C903B6">
        <w:instrText xml:space="preserve"> REF _Ref105494208 \r \h </w:instrText>
      </w:r>
      <w:r w:rsidR="004C78B9">
        <w:fldChar w:fldCharType="separate"/>
      </w:r>
      <w:r w:rsidR="000D2EB4">
        <w:t>6.7.4</w:t>
      </w:r>
      <w:r w:rsidR="004C78B9">
        <w:fldChar w:fldCharType="end"/>
      </w:r>
      <w:r>
        <w:t>.</w:t>
      </w:r>
    </w:p>
    <w:p w:rsidR="00404448" w:rsidRPr="004976DB" w:rsidRDefault="00404448" w:rsidP="00404448">
      <w:r>
        <w:t xml:space="preserve">On the other hand, </w:t>
      </w:r>
      <w:r w:rsidR="004A3FBE" w:rsidRPr="004A3FBE">
        <w:rPr>
          <w:i/>
        </w:rPr>
        <w:t>Kepler</w:t>
      </w:r>
      <w:r>
        <w:t xml:space="preserve"> </w:t>
      </w:r>
      <w:r w:rsidR="00C903DE">
        <w:t xml:space="preserve">was </w:t>
      </w:r>
      <w:r>
        <w:t xml:space="preserve">in a very benign thermal environment, in which the board temperature </w:t>
      </w:r>
      <w:r w:rsidR="00C903DE">
        <w:t xml:space="preserve">varied </w:t>
      </w:r>
      <w:r>
        <w:t>slowly and monotonically between quarterly rolls, with the exception of the monthly downlink</w:t>
      </w:r>
      <w:r w:rsidR="00887E40">
        <w:t>s</w:t>
      </w:r>
      <w:r>
        <w:t xml:space="preserve">. </w:t>
      </w:r>
      <w:r w:rsidR="00D13416">
        <w:t xml:space="preserve">The mean of the 10 board temperatures </w:t>
      </w:r>
      <w:r w:rsidR="006D3FAC">
        <w:t xml:space="preserve">over a year </w:t>
      </w:r>
      <w:r w:rsidR="00D13416">
        <w:t xml:space="preserve">is shown in </w:t>
      </w:r>
      <w:r w:rsidR="004C78B9">
        <w:fldChar w:fldCharType="begin"/>
      </w:r>
      <w:r w:rsidR="00C903B6">
        <w:instrText xml:space="preserve"> REF _Ref105494924 \h </w:instrText>
      </w:r>
      <w:r w:rsidR="004C78B9">
        <w:fldChar w:fldCharType="separate"/>
      </w:r>
      <w:r w:rsidR="000D2EB4">
        <w:t xml:space="preserve">Figure </w:t>
      </w:r>
      <w:r w:rsidR="000D2EB4">
        <w:rPr>
          <w:noProof/>
        </w:rPr>
        <w:t>35</w:t>
      </w:r>
      <w:r w:rsidR="004C78B9">
        <w:fldChar w:fldCharType="end"/>
      </w:r>
      <w:r>
        <w:t xml:space="preserve">. For over 90% of the mission, the rate of temperature change </w:t>
      </w:r>
      <w:r w:rsidR="00764E33">
        <w:t xml:space="preserve">was </w:t>
      </w:r>
      <w:r>
        <w:t>less then 2 mK/hr, or 0.10 K in 48 hr.  Hence, Artifacts present in all pixels of an aperture, which have a linear thermal coefficient of &lt; 0.14 DN/frame/pixel/K, may be considered negligible, with respect to the 0.016 DN/pixel/frame criterion described in the previous Section.  If they are present in only one pixel, then a linear thermal coefficient of &lt; 2 DN/frame/pixel/K is tolerable.</w:t>
      </w:r>
    </w:p>
    <w:p w:rsidR="00404448" w:rsidRDefault="004B76CB" w:rsidP="00404448">
      <w:pPr>
        <w:keepNext/>
      </w:pPr>
      <w:r>
        <w:rPr>
          <w:noProof/>
        </w:rPr>
        <w:drawing>
          <wp:inline distT="0" distB="0" distL="0" distR="0">
            <wp:extent cx="5943600" cy="2748915"/>
            <wp:effectExtent l="25400" t="0" r="0" b="0"/>
            <wp:docPr id="1" name="Picture 0" descr="q5-q8_mean_acq_drv_T.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5-q8_mean_acq_drv_T.eps"/>
                    <pic:cNvPicPr/>
                  </pic:nvPicPr>
                  <ve:AlternateContent xmlns:ma="http://schemas.microsoft.com/office/mac/drawingml/2008/main">
                    <ve:Choice Requires="ma">
                      <pic:blipFill>
                        <a:blip r:embed="rId63"/>
                        <a:stretch>
                          <a:fillRect/>
                        </a:stretch>
                      </pic:blipFill>
                    </ve:Choice>
                    <ve:Fallback xmlns:ma="http://schemas.microsoft.com/office/mac/drawingml/2008/main" xmln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pic:blipFill>
                        <a:blip r:embed="rId66"/>
                        <a:stretch>
                          <a:fillRect/>
                        </a:stretch>
                      </pic:blipFill>
                    </ve:Fallback>
                  </ve:AlternateContent>
                  <pic:spPr>
                    <a:xfrm>
                      <a:off x="0" y="0"/>
                      <a:ext cx="5943600" cy="2748915"/>
                    </a:xfrm>
                    <a:prstGeom prst="rect">
                      <a:avLst/>
                    </a:prstGeom>
                  </pic:spPr>
                </pic:pic>
              </a:graphicData>
            </a:graphic>
          </wp:inline>
        </w:drawing>
      </w:r>
    </w:p>
    <w:p w:rsidR="00404448" w:rsidRDefault="00404448" w:rsidP="00404448">
      <w:pPr>
        <w:pStyle w:val="Caption"/>
      </w:pPr>
      <w:bookmarkStart w:id="191" w:name="_Ref105494924"/>
      <w:bookmarkStart w:id="192" w:name="_Toc322942265"/>
      <w:r>
        <w:t xml:space="preserve">Figure </w:t>
      </w:r>
      <w:fldSimple w:instr=" SEQ Figure \* ARABIC ">
        <w:r w:rsidR="000D2EB4">
          <w:rPr>
            <w:noProof/>
          </w:rPr>
          <w:t>35</w:t>
        </w:r>
      </w:fldSimple>
      <w:bookmarkEnd w:id="191"/>
      <w:r>
        <w:t xml:space="preserve">:  </w:t>
      </w:r>
      <w:r w:rsidR="004B76CB">
        <w:t>Mean LDE board temperature</w:t>
      </w:r>
      <w:r>
        <w:t xml:space="preserve"> over </w:t>
      </w:r>
      <w:r w:rsidR="004B76CB">
        <w:t xml:space="preserve">a year (Q5-Q8), showing the effect of </w:t>
      </w:r>
      <w:r>
        <w:t>quarterly roll</w:t>
      </w:r>
      <w:r w:rsidR="004B76CB">
        <w:t xml:space="preserve">s, </w:t>
      </w:r>
      <w:r w:rsidR="00186D5C">
        <w:t>30 day downlink maneuvers</w:t>
      </w:r>
      <w:r>
        <w:t xml:space="preserve">, </w:t>
      </w:r>
      <w:r w:rsidR="004B76CB">
        <w:t>and safe modes.  See the DRNs or KDCH for details of historical events in this time interval</w:t>
      </w:r>
      <w:r>
        <w:t>.</w:t>
      </w:r>
      <w:bookmarkEnd w:id="192"/>
    </w:p>
    <w:p w:rsidR="00404448" w:rsidRPr="00DD2B51" w:rsidRDefault="00404448" w:rsidP="00404448">
      <w:r>
        <w:t>This rosy picture is complicated by safing events, one of which occurred on 6/16/09 and the next on 7/2/09.  Then, the LDE was shut down for about two days, and the thermal and secular transients start anew.</w:t>
      </w:r>
      <w:r w:rsidR="008C3FCA">
        <w:t xml:space="preserve">  Fortunately, </w:t>
      </w:r>
      <w:r w:rsidR="008C3FCA" w:rsidRPr="008C3FCA">
        <w:t xml:space="preserve">there were </w:t>
      </w:r>
      <w:r w:rsidR="008C3FCA">
        <w:t xml:space="preserve">only </w:t>
      </w:r>
      <w:r w:rsidR="008C3FCA" w:rsidRPr="008C3FCA">
        <w:t>7 Safe Modes in the subseq</w:t>
      </w:r>
      <w:r w:rsidR="008C3FCA">
        <w:t>uent 3.5 y</w:t>
      </w:r>
      <w:r w:rsidR="00815268">
        <w:t>r</w:t>
      </w:r>
      <w:r w:rsidR="008C3FCA">
        <w:t xml:space="preserve"> of the </w:t>
      </w:r>
      <w:r w:rsidR="008C3FCA" w:rsidRPr="008C3FCA">
        <w:rPr>
          <w:i/>
        </w:rPr>
        <w:t>Kepler</w:t>
      </w:r>
      <w:r w:rsidR="008C3FCA">
        <w:t xml:space="preserve"> </w:t>
      </w:r>
      <w:r w:rsidR="008C3FCA" w:rsidRPr="008C3FCA">
        <w:t>mission</w:t>
      </w:r>
      <w:r>
        <w:t xml:space="preserve">. </w:t>
      </w:r>
    </w:p>
    <w:p w:rsidR="00404448" w:rsidRPr="00394F88" w:rsidRDefault="00404448" w:rsidP="00404448">
      <w:pPr>
        <w:pStyle w:val="Heading2"/>
        <w:rPr>
          <w:sz w:val="22"/>
        </w:rPr>
      </w:pPr>
      <w:bookmarkStart w:id="193" w:name="_Ref109032840"/>
      <w:bookmarkStart w:id="194" w:name="_Toc322942194"/>
      <w:r w:rsidRPr="00394F88">
        <w:rPr>
          <w:sz w:val="22"/>
        </w:rPr>
        <w:t xml:space="preserve">FGS </w:t>
      </w:r>
      <w:r w:rsidRPr="00394F88">
        <w:rPr>
          <w:sz w:val="22"/>
        </w:rPr>
        <w:sym w:font="Wingdings" w:char="F0E0"/>
      </w:r>
      <w:r w:rsidRPr="00394F88">
        <w:rPr>
          <w:sz w:val="22"/>
        </w:rPr>
        <w:t xml:space="preserve"> Science Clock Crosstalk</w:t>
      </w:r>
      <w:bookmarkEnd w:id="193"/>
      <w:bookmarkEnd w:id="194"/>
    </w:p>
    <w:p w:rsidR="00404448" w:rsidRPr="00896C60" w:rsidRDefault="00404448" w:rsidP="00404448">
      <w:pPr>
        <w:pStyle w:val="Heading3"/>
      </w:pPr>
      <w:bookmarkStart w:id="195" w:name="_Toc322942195"/>
      <w:bookmarkEnd w:id="188"/>
      <w:bookmarkEnd w:id="189"/>
      <w:r>
        <w:t>Description</w:t>
      </w:r>
      <w:bookmarkEnd w:id="195"/>
    </w:p>
    <w:p w:rsidR="00404448" w:rsidRPr="0001286E" w:rsidRDefault="00404448" w:rsidP="00404448">
      <w:r>
        <w:t xml:space="preserve">It is unusual to operate two different kinds of focal planes from the same electronics box, or at least the same PC card, for good reason:  unless the two kinds of focal planes have the same clocking pattern,  clock events occurring on one focal plane may be detected in the data of the other, which is called </w:t>
      </w:r>
      <w:r w:rsidRPr="00145B3F">
        <w:rPr>
          <w:i/>
        </w:rPr>
        <w:t>clock crosstalk</w:t>
      </w:r>
      <w:r>
        <w:t xml:space="preserve">.  However, because of the need to pack all the detector electronics into a box inside the telescope, this principle of good hygiene was not practical to implement on </w:t>
      </w:r>
      <w:r w:rsidR="004A3FBE" w:rsidRPr="004A3FBE">
        <w:rPr>
          <w:i/>
        </w:rPr>
        <w:t>Kepler</w:t>
      </w:r>
      <w:r>
        <w:t xml:space="preserve">, and science and FGS circuits are both present in the same box, and in some instances on the same ECA.  So it is no surprise that there is FGS clock crosstalk into the Science channels, and Science crosstalk into the FGS channels. The amplitude of this effect is constant from frame to frame for a given channel, but varies in magnitude among channels from nil to about 20 DN per frame, and can be either positive or negative.  Fortunately, the Science and FGS frames were designed to be commensurate by the judicious allocation of virtual pixels, and are run from common clocks, so that the FGS clock crosstalk is a fixed pattern in the Science images.  There are then three fixed classes of Science pixels:  those collected during FGS Serial Transfer, those collected during FGS parallel transfers, and those collected during FGS Frame Transfers; there is no case in which Science pixels are read, and FGS clocks are not running. </w:t>
      </w:r>
      <w:r w:rsidR="004C78B9">
        <w:fldChar w:fldCharType="begin"/>
      </w:r>
      <w:r w:rsidR="00C903B6">
        <w:instrText xml:space="preserve"> REF _Ref201589572 \h </w:instrText>
      </w:r>
      <w:r w:rsidR="004C78B9">
        <w:fldChar w:fldCharType="separate"/>
      </w:r>
      <w:r w:rsidR="000D2EB4">
        <w:t xml:space="preserve">Figure </w:t>
      </w:r>
      <w:r w:rsidR="000D2EB4">
        <w:rPr>
          <w:noProof/>
        </w:rPr>
        <w:t>36</w:t>
      </w:r>
      <w:r w:rsidR="004C78B9">
        <w:fldChar w:fldCharType="end"/>
      </w:r>
      <w:r>
        <w:t xml:space="preserve"> shows the pixel locations of the various forms of FGS clock crosstalk in a Science image.  Empirically, there is no crosstalk in the FGS Serial Transfer regions.  </w:t>
      </w:r>
      <w:r w:rsidR="004C78B9">
        <w:fldChar w:fldCharType="begin"/>
      </w:r>
      <w:r w:rsidR="00C903B6">
        <w:instrText xml:space="preserve"> REF _Ref105497405 \h </w:instrText>
      </w:r>
      <w:r w:rsidR="004C78B9">
        <w:fldChar w:fldCharType="separate"/>
      </w:r>
      <w:r w:rsidR="000D2EB4">
        <w:t xml:space="preserve">Figure </w:t>
      </w:r>
      <w:r w:rsidR="000D2EB4">
        <w:rPr>
          <w:noProof/>
        </w:rPr>
        <w:t>37</w:t>
      </w:r>
      <w:r w:rsidR="004C78B9">
        <w:fldChar w:fldCharType="end"/>
      </w:r>
      <w:r>
        <w:t xml:space="preserve"> </w:t>
      </w:r>
      <w:r w:rsidRPr="00D4728B">
        <w:t>show</w:t>
      </w:r>
      <w:r>
        <w:t>s</w:t>
      </w:r>
      <w:r w:rsidRPr="00D4728B">
        <w:t xml:space="preserve"> fine structure in the FGS Parallel</w:t>
      </w:r>
      <w:r>
        <w:t xml:space="preserve"> and FGS Frame Transfer regions.   While each class of crosstalk cannot be represented as a single number because of this fine structure, the position of the fine structure is exactly repeatable, and a signature template for each class of crosstalk can be generated.   Each element of the template represents a pixel in the same relative position with respect to its class of crosstalk, called a pixel type. </w:t>
      </w:r>
      <w:r w:rsidRPr="009B1712">
        <w:rPr>
          <w:bCs/>
        </w:rPr>
        <w:t>The</w:t>
      </w:r>
      <w:r>
        <w:rPr>
          <w:bCs/>
        </w:rPr>
        <w:t xml:space="preserve">re is also Science clock to FGS </w:t>
      </w:r>
      <w:r w:rsidRPr="009B1712">
        <w:rPr>
          <w:bCs/>
        </w:rPr>
        <w:t>crosstalk</w:t>
      </w:r>
      <w:r>
        <w:rPr>
          <w:bCs/>
        </w:rPr>
        <w:t>, which is remedi</w:t>
      </w:r>
      <w:r w:rsidRPr="009B1712">
        <w:rPr>
          <w:bCs/>
        </w:rPr>
        <w:t>ed by an A</w:t>
      </w:r>
      <w:r>
        <w:rPr>
          <w:bCs/>
        </w:rPr>
        <w:t>D</w:t>
      </w:r>
      <w:r w:rsidRPr="009B1712">
        <w:rPr>
          <w:bCs/>
        </w:rPr>
        <w:t xml:space="preserve">CS algorithm.  </w:t>
      </w:r>
      <w:r w:rsidR="00267224">
        <w:rPr>
          <w:bCs/>
        </w:rPr>
        <w:t xml:space="preserve">The pixels are enumerated in the Clock State Mask FC model delivered to MAST (KAM §2.3.5.1) and their identification is discussed in KADN-26205 (Van Cleve, 2008). </w:t>
      </w:r>
      <w:r w:rsidR="00EA31E8">
        <w:rPr>
          <w:bCs/>
        </w:rPr>
        <w:t xml:space="preserve"> </w:t>
      </w:r>
    </w:p>
    <w:p w:rsidR="00404448" w:rsidRPr="009B1712" w:rsidRDefault="000518AB" w:rsidP="00404448">
      <w:pPr>
        <w:keepNext/>
      </w:pPr>
      <w:r>
        <w:rPr>
          <w:noProof/>
        </w:rPr>
        <w:drawing>
          <wp:inline distT="0" distB="0" distL="0" distR="0">
            <wp:extent cx="5571490" cy="6188075"/>
            <wp:effectExtent l="25400" t="0" r="0" b="0"/>
            <wp:docPr id="40" name="Picture 40" descr="crosstalk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rosstalk_11"/>
                    <pic:cNvPicPr>
                      <a:picLocks noChangeAspect="1" noChangeArrowheads="1"/>
                    </pic:cNvPicPr>
                  </pic:nvPicPr>
                  <pic:blipFill>
                    <a:blip r:embed="rId67"/>
                    <a:srcRect/>
                    <a:stretch>
                      <a:fillRect/>
                    </a:stretch>
                  </pic:blipFill>
                  <pic:spPr bwMode="auto">
                    <a:xfrm>
                      <a:off x="0" y="0"/>
                      <a:ext cx="5571490" cy="6188075"/>
                    </a:xfrm>
                    <a:prstGeom prst="rect">
                      <a:avLst/>
                    </a:prstGeom>
                    <a:noFill/>
                    <a:ln w="9525">
                      <a:noFill/>
                      <a:miter lim="800000"/>
                      <a:headEnd/>
                      <a:tailEnd/>
                    </a:ln>
                  </pic:spPr>
                </pic:pic>
              </a:graphicData>
            </a:graphic>
          </wp:inline>
        </w:drawing>
      </w:r>
    </w:p>
    <w:p w:rsidR="00404448" w:rsidRDefault="00404448" w:rsidP="00404448">
      <w:pPr>
        <w:pStyle w:val="Caption"/>
      </w:pPr>
      <w:bookmarkStart w:id="196" w:name="_Ref201589572"/>
      <w:bookmarkStart w:id="197" w:name="_Toc322942266"/>
      <w:r>
        <w:t xml:space="preserve">Figure </w:t>
      </w:r>
      <w:fldSimple w:instr=" SEQ Figure \* ARABIC ">
        <w:r w:rsidR="000D2EB4">
          <w:rPr>
            <w:noProof/>
          </w:rPr>
          <w:t>36</w:t>
        </w:r>
      </w:fldSimple>
      <w:bookmarkEnd w:id="196"/>
      <w:r>
        <w:t>:  Dark 270-frame FFI of Channel 11.3 showing FGS Parallel Transfer crosstalk (diagonal hash) and Frame Transfer crosstalk (horizontal lines).  Everything else is a science pixel collected during an FGS Serial Transfer.  The FGS Parallel Transfer crosstalk regions are spread by analog signal propagation from the theoretical width of 16 pixels to the observed width of 32 pixels.  The image is linearly scaled to 26 DN/frame.</w:t>
      </w:r>
      <w:bookmarkEnd w:id="197"/>
    </w:p>
    <w:p w:rsidR="00404448" w:rsidRDefault="000518AB" w:rsidP="00404448">
      <w:pPr>
        <w:keepNext/>
        <w:jc w:val="center"/>
      </w:pPr>
      <w:r>
        <w:rPr>
          <w:noProof/>
        </w:rPr>
        <w:drawing>
          <wp:inline distT="0" distB="0" distL="0" distR="0">
            <wp:extent cx="3659195" cy="5585460"/>
            <wp:effectExtent l="5390" t="0" r="0" b="0"/>
            <wp:docPr id="41" name="O 8"/>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140200" cy="6311900"/>
                      <a:chOff x="2501900" y="273050"/>
                      <a:chExt cx="4140200" cy="6311900"/>
                    </a:xfrm>
                  </a:grpSpPr>
                  <a:pic>
                    <a:nvPicPr>
                      <a:cNvPr id="2" name="Picture 1" descr="crosstalk_11.3_zoom.tiff"/>
                      <a:cNvPicPr>
                        <a:picLocks noChangeAspect="1"/>
                      </a:cNvPicPr>
                    </a:nvPicPr>
                    <a:blipFill>
                      <a:blip r:embed="rId68"/>
                      <a:stretch>
                        <a:fillRect/>
                      </a:stretch>
                    </a:blipFill>
                    <a:spPr>
                      <a:xfrm>
                        <a:off x="2501900" y="273050"/>
                        <a:ext cx="4140200" cy="6311900"/>
                      </a:xfrm>
                      <a:prstGeom prst="rect">
                        <a:avLst/>
                      </a:prstGeom>
                    </a:spPr>
                  </a:pic>
                  <a:sp>
                    <a:nvSpPr>
                      <a:cNvPr id="3" name="TextBox 2"/>
                      <a:cNvSpPr txBox="1"/>
                    </a:nvSpPr>
                    <a:spPr>
                      <a:xfrm>
                        <a:off x="3912728" y="4473790"/>
                        <a:ext cx="1762397" cy="369332"/>
                      </a:xfrm>
                      <a:prstGeom prst="rect">
                        <a:avLst/>
                      </a:prstGeom>
                      <a:noFill/>
                    </a:spPr>
                    <a:txSp>
                      <a:txBody>
                        <a:bodyPr wrap="none" rtlCol="0">
                          <a:spAutoFit/>
                        </a:bodyPr>
                        <a:lstStyle>
                          <a:defPPr>
                            <a:defRPr lang="en-US"/>
                          </a:defPPr>
                          <a:lvl1pPr algn="l" rtl="0" eaLnBrk="0" fontAlgn="base" hangingPunct="0">
                            <a:spcBef>
                              <a:spcPct val="0"/>
                            </a:spcBef>
                            <a:spcAft>
                              <a:spcPct val="0"/>
                            </a:spcAft>
                            <a:defRPr kern="1200">
                              <a:solidFill>
                                <a:schemeClr val="tx1"/>
                              </a:solidFill>
                              <a:latin typeface="Arial" pitchFamily="-65" charset="0"/>
                              <a:ea typeface="+mn-ea"/>
                              <a:cs typeface="+mn-cs"/>
                            </a:defRPr>
                          </a:lvl1pPr>
                          <a:lvl2pPr marL="457200" algn="l" rtl="0" eaLnBrk="0" fontAlgn="base" hangingPunct="0">
                            <a:spcBef>
                              <a:spcPct val="0"/>
                            </a:spcBef>
                            <a:spcAft>
                              <a:spcPct val="0"/>
                            </a:spcAft>
                            <a:defRPr kern="1200">
                              <a:solidFill>
                                <a:schemeClr val="tx1"/>
                              </a:solidFill>
                              <a:latin typeface="Arial" pitchFamily="-65" charset="0"/>
                              <a:ea typeface="+mn-ea"/>
                              <a:cs typeface="+mn-cs"/>
                            </a:defRPr>
                          </a:lvl2pPr>
                          <a:lvl3pPr marL="914400" algn="l" rtl="0" eaLnBrk="0" fontAlgn="base" hangingPunct="0">
                            <a:spcBef>
                              <a:spcPct val="0"/>
                            </a:spcBef>
                            <a:spcAft>
                              <a:spcPct val="0"/>
                            </a:spcAft>
                            <a:defRPr kern="1200">
                              <a:solidFill>
                                <a:schemeClr val="tx1"/>
                              </a:solidFill>
                              <a:latin typeface="Arial" pitchFamily="-65" charset="0"/>
                              <a:ea typeface="+mn-ea"/>
                              <a:cs typeface="+mn-cs"/>
                            </a:defRPr>
                          </a:lvl3pPr>
                          <a:lvl4pPr marL="1371600" algn="l" rtl="0" eaLnBrk="0" fontAlgn="base" hangingPunct="0">
                            <a:spcBef>
                              <a:spcPct val="0"/>
                            </a:spcBef>
                            <a:spcAft>
                              <a:spcPct val="0"/>
                            </a:spcAft>
                            <a:defRPr kern="1200">
                              <a:solidFill>
                                <a:schemeClr val="tx1"/>
                              </a:solidFill>
                              <a:latin typeface="Arial" pitchFamily="-65" charset="0"/>
                              <a:ea typeface="+mn-ea"/>
                              <a:cs typeface="+mn-cs"/>
                            </a:defRPr>
                          </a:lvl4pPr>
                          <a:lvl5pPr marL="1828800" algn="l" rtl="0" eaLnBrk="0" fontAlgn="base" hangingPunct="0">
                            <a:spcBef>
                              <a:spcPct val="0"/>
                            </a:spcBef>
                            <a:spcAft>
                              <a:spcPct val="0"/>
                            </a:spcAft>
                            <a:defRPr kern="1200">
                              <a:solidFill>
                                <a:schemeClr val="tx1"/>
                              </a:solidFill>
                              <a:latin typeface="Arial" pitchFamily="-65" charset="0"/>
                              <a:ea typeface="+mn-ea"/>
                              <a:cs typeface="+mn-cs"/>
                            </a:defRPr>
                          </a:lvl5pPr>
                          <a:lvl6pPr marL="2286000" algn="l" defTabSz="457200" rtl="0" eaLnBrk="1" latinLnBrk="0" hangingPunct="1">
                            <a:defRPr kern="1200">
                              <a:solidFill>
                                <a:schemeClr val="tx1"/>
                              </a:solidFill>
                              <a:latin typeface="Arial" pitchFamily="-65" charset="0"/>
                              <a:ea typeface="+mn-ea"/>
                              <a:cs typeface="+mn-cs"/>
                            </a:defRPr>
                          </a:lvl6pPr>
                          <a:lvl7pPr marL="2743200" algn="l" defTabSz="457200" rtl="0" eaLnBrk="1" latinLnBrk="0" hangingPunct="1">
                            <a:defRPr kern="1200">
                              <a:solidFill>
                                <a:schemeClr val="tx1"/>
                              </a:solidFill>
                              <a:latin typeface="Arial" pitchFamily="-65" charset="0"/>
                              <a:ea typeface="+mn-ea"/>
                              <a:cs typeface="+mn-cs"/>
                            </a:defRPr>
                          </a:lvl7pPr>
                          <a:lvl8pPr marL="3200400" algn="l" defTabSz="457200" rtl="0" eaLnBrk="1" latinLnBrk="0" hangingPunct="1">
                            <a:defRPr kern="1200">
                              <a:solidFill>
                                <a:schemeClr val="tx1"/>
                              </a:solidFill>
                              <a:latin typeface="Arial" pitchFamily="-65" charset="0"/>
                              <a:ea typeface="+mn-ea"/>
                              <a:cs typeface="+mn-cs"/>
                            </a:defRPr>
                          </a:lvl8pPr>
                          <a:lvl9pPr marL="3657600" algn="l" defTabSz="457200" rtl="0" eaLnBrk="1" latinLnBrk="0" hangingPunct="1">
                            <a:defRPr kern="1200">
                              <a:solidFill>
                                <a:schemeClr val="tx1"/>
                              </a:solidFill>
                              <a:latin typeface="Arial" pitchFamily="-65" charset="0"/>
                              <a:ea typeface="+mn-ea"/>
                              <a:cs typeface="+mn-cs"/>
                            </a:defRPr>
                          </a:lvl9pPr>
                        </a:lstStyle>
                        <a:p>
                          <a:r>
                            <a:rPr lang="en-US" dirty="0" smtClean="0"/>
                            <a:t>Frame Transfer</a:t>
                          </a:r>
                          <a:endParaRPr lang="en-US" dirty="0"/>
                        </a:p>
                      </a:txBody>
                      <a:useSpRect/>
                    </a:txSp>
                  </a:sp>
                  <a:grpSp>
                    <a:nvGrpSpPr>
                      <a:cNvPr id="16" name="Group 15"/>
                      <a:cNvGrpSpPr/>
                    </a:nvGrpSpPr>
                    <a:grpSpPr>
                      <a:xfrm>
                        <a:off x="3100438" y="2665967"/>
                        <a:ext cx="2769118" cy="1338705"/>
                        <a:chOff x="3100438" y="2665967"/>
                        <a:chExt cx="2769118" cy="1338705"/>
                      </a:xfrm>
                    </a:grpSpPr>
                    <a:sp>
                      <a:nvSpPr>
                        <a:cNvPr id="4" name="TextBox 3"/>
                        <a:cNvSpPr txBox="1"/>
                      </a:nvSpPr>
                      <a:spPr>
                        <a:xfrm>
                          <a:off x="4004254" y="3226621"/>
                          <a:ext cx="1865302" cy="369332"/>
                        </a:xfrm>
                        <a:prstGeom prst="rect">
                          <a:avLst/>
                        </a:prstGeom>
                        <a:noFill/>
                      </a:spPr>
                      <a:txSp>
                        <a:txBody>
                          <a:bodyPr wrap="none" rtlCol="0">
                            <a:spAutoFit/>
                          </a:bodyPr>
                          <a:lstStyle>
                            <a:defPPr>
                              <a:defRPr lang="en-US"/>
                            </a:defPPr>
                            <a:lvl1pPr algn="l" rtl="0" eaLnBrk="0" fontAlgn="base" hangingPunct="0">
                              <a:spcBef>
                                <a:spcPct val="0"/>
                              </a:spcBef>
                              <a:spcAft>
                                <a:spcPct val="0"/>
                              </a:spcAft>
                              <a:defRPr kern="1200">
                                <a:solidFill>
                                  <a:schemeClr val="tx1"/>
                                </a:solidFill>
                                <a:latin typeface="Arial" pitchFamily="-65" charset="0"/>
                                <a:ea typeface="+mn-ea"/>
                                <a:cs typeface="+mn-cs"/>
                              </a:defRPr>
                            </a:lvl1pPr>
                            <a:lvl2pPr marL="457200" algn="l" rtl="0" eaLnBrk="0" fontAlgn="base" hangingPunct="0">
                              <a:spcBef>
                                <a:spcPct val="0"/>
                              </a:spcBef>
                              <a:spcAft>
                                <a:spcPct val="0"/>
                              </a:spcAft>
                              <a:defRPr kern="1200">
                                <a:solidFill>
                                  <a:schemeClr val="tx1"/>
                                </a:solidFill>
                                <a:latin typeface="Arial" pitchFamily="-65" charset="0"/>
                                <a:ea typeface="+mn-ea"/>
                                <a:cs typeface="+mn-cs"/>
                              </a:defRPr>
                            </a:lvl2pPr>
                            <a:lvl3pPr marL="914400" algn="l" rtl="0" eaLnBrk="0" fontAlgn="base" hangingPunct="0">
                              <a:spcBef>
                                <a:spcPct val="0"/>
                              </a:spcBef>
                              <a:spcAft>
                                <a:spcPct val="0"/>
                              </a:spcAft>
                              <a:defRPr kern="1200">
                                <a:solidFill>
                                  <a:schemeClr val="tx1"/>
                                </a:solidFill>
                                <a:latin typeface="Arial" pitchFamily="-65" charset="0"/>
                                <a:ea typeface="+mn-ea"/>
                                <a:cs typeface="+mn-cs"/>
                              </a:defRPr>
                            </a:lvl3pPr>
                            <a:lvl4pPr marL="1371600" algn="l" rtl="0" eaLnBrk="0" fontAlgn="base" hangingPunct="0">
                              <a:spcBef>
                                <a:spcPct val="0"/>
                              </a:spcBef>
                              <a:spcAft>
                                <a:spcPct val="0"/>
                              </a:spcAft>
                              <a:defRPr kern="1200">
                                <a:solidFill>
                                  <a:schemeClr val="tx1"/>
                                </a:solidFill>
                                <a:latin typeface="Arial" pitchFamily="-65" charset="0"/>
                                <a:ea typeface="+mn-ea"/>
                                <a:cs typeface="+mn-cs"/>
                              </a:defRPr>
                            </a:lvl4pPr>
                            <a:lvl5pPr marL="1828800" algn="l" rtl="0" eaLnBrk="0" fontAlgn="base" hangingPunct="0">
                              <a:spcBef>
                                <a:spcPct val="0"/>
                              </a:spcBef>
                              <a:spcAft>
                                <a:spcPct val="0"/>
                              </a:spcAft>
                              <a:defRPr kern="1200">
                                <a:solidFill>
                                  <a:schemeClr val="tx1"/>
                                </a:solidFill>
                                <a:latin typeface="Arial" pitchFamily="-65" charset="0"/>
                                <a:ea typeface="+mn-ea"/>
                                <a:cs typeface="+mn-cs"/>
                              </a:defRPr>
                            </a:lvl5pPr>
                            <a:lvl6pPr marL="2286000" algn="l" defTabSz="457200" rtl="0" eaLnBrk="1" latinLnBrk="0" hangingPunct="1">
                              <a:defRPr kern="1200">
                                <a:solidFill>
                                  <a:schemeClr val="tx1"/>
                                </a:solidFill>
                                <a:latin typeface="Arial" pitchFamily="-65" charset="0"/>
                                <a:ea typeface="+mn-ea"/>
                                <a:cs typeface="+mn-cs"/>
                              </a:defRPr>
                            </a:lvl6pPr>
                            <a:lvl7pPr marL="2743200" algn="l" defTabSz="457200" rtl="0" eaLnBrk="1" latinLnBrk="0" hangingPunct="1">
                              <a:defRPr kern="1200">
                                <a:solidFill>
                                  <a:schemeClr val="tx1"/>
                                </a:solidFill>
                                <a:latin typeface="Arial" pitchFamily="-65" charset="0"/>
                                <a:ea typeface="+mn-ea"/>
                                <a:cs typeface="+mn-cs"/>
                              </a:defRPr>
                            </a:lvl7pPr>
                            <a:lvl8pPr marL="3200400" algn="l" defTabSz="457200" rtl="0" eaLnBrk="1" latinLnBrk="0" hangingPunct="1">
                              <a:defRPr kern="1200">
                                <a:solidFill>
                                  <a:schemeClr val="tx1"/>
                                </a:solidFill>
                                <a:latin typeface="Arial" pitchFamily="-65" charset="0"/>
                                <a:ea typeface="+mn-ea"/>
                                <a:cs typeface="+mn-cs"/>
                              </a:defRPr>
                            </a:lvl8pPr>
                            <a:lvl9pPr marL="3657600" algn="l" defTabSz="457200" rtl="0" eaLnBrk="1" latinLnBrk="0" hangingPunct="1">
                              <a:defRPr kern="1200">
                                <a:solidFill>
                                  <a:schemeClr val="tx1"/>
                                </a:solidFill>
                                <a:latin typeface="Arial" pitchFamily="-65" charset="0"/>
                                <a:ea typeface="+mn-ea"/>
                                <a:cs typeface="+mn-cs"/>
                              </a:defRPr>
                            </a:lvl9pPr>
                          </a:lstStyle>
                          <a:p>
                            <a:r>
                              <a:rPr lang="en-US" dirty="0" smtClean="0"/>
                              <a:t>Parallel Transfer</a:t>
                            </a:r>
                            <a:endParaRPr lang="en-US" dirty="0"/>
                          </a:p>
                        </a:txBody>
                        <a:useSpRect/>
                      </a:txSp>
                    </a:sp>
                    <a:cxnSp>
                      <a:nvCxnSpPr>
                        <a:cNvPr id="6" name="Straight Connector 5"/>
                        <a:cNvCxnSpPr/>
                      </a:nvCxnSpPr>
                      <a:spPr bwMode="auto">
                        <a:xfrm rot="16200000" flipV="1">
                          <a:off x="3529434" y="2809006"/>
                          <a:ext cx="583538" cy="297459"/>
                        </a:xfrm>
                        <a:prstGeom prst="line">
                          <a:avLst/>
                        </a:prstGeom>
                        <a:solidFill>
                          <a:schemeClr val="accent1"/>
                        </a:solidFill>
                        <a:ln w="9525" cap="flat" cmpd="sng" algn="ctr">
                          <a:solidFill>
                            <a:schemeClr val="tx1"/>
                          </a:solidFill>
                          <a:prstDash val="solid"/>
                          <a:round/>
                          <a:headEnd type="none" w="med" len="med"/>
                          <a:tailEnd type="triangle" w="med" len="med"/>
                        </a:ln>
                        <a:effectLst/>
                      </a:spPr>
                    </a:cxnSp>
                    <a:cxnSp>
                      <a:nvCxnSpPr>
                        <a:cNvPr id="8" name="Straight Connector 7"/>
                        <a:cNvCxnSpPr/>
                      </a:nvCxnSpPr>
                      <a:spPr bwMode="auto">
                        <a:xfrm rot="10800000">
                          <a:off x="3580948" y="3020667"/>
                          <a:ext cx="388985" cy="251722"/>
                        </a:xfrm>
                        <a:prstGeom prst="line">
                          <a:avLst/>
                        </a:prstGeom>
                        <a:solidFill>
                          <a:schemeClr val="accent1"/>
                        </a:solidFill>
                        <a:ln w="9525" cap="flat" cmpd="sng" algn="ctr">
                          <a:solidFill>
                            <a:schemeClr val="tx1"/>
                          </a:solidFill>
                          <a:prstDash val="solid"/>
                          <a:round/>
                          <a:headEnd type="none" w="med" len="med"/>
                          <a:tailEnd type="triangle" w="med" len="med"/>
                        </a:ln>
                        <a:effectLst/>
                      </a:spPr>
                    </a:cxnSp>
                    <a:cxnSp>
                      <a:nvCxnSpPr>
                        <a:cNvPr id="10" name="Straight Connector 9"/>
                        <a:cNvCxnSpPr/>
                      </a:nvCxnSpPr>
                      <a:spPr bwMode="auto">
                        <a:xfrm rot="10800000">
                          <a:off x="3455100" y="3341040"/>
                          <a:ext cx="514833" cy="68652"/>
                        </a:xfrm>
                        <a:prstGeom prst="line">
                          <a:avLst/>
                        </a:prstGeom>
                        <a:solidFill>
                          <a:schemeClr val="accent1"/>
                        </a:solidFill>
                        <a:ln w="9525" cap="flat" cmpd="sng" algn="ctr">
                          <a:solidFill>
                            <a:schemeClr val="tx1"/>
                          </a:solidFill>
                          <a:prstDash val="solid"/>
                          <a:round/>
                          <a:headEnd type="none" w="med" len="med"/>
                          <a:tailEnd type="triangle" w="med" len="med"/>
                        </a:ln>
                        <a:effectLst/>
                      </a:spPr>
                    </a:cxnSp>
                    <a:cxnSp>
                      <a:nvCxnSpPr>
                        <a:cNvPr id="12" name="Straight Connector 11"/>
                        <a:cNvCxnSpPr/>
                      </a:nvCxnSpPr>
                      <a:spPr bwMode="auto">
                        <a:xfrm rot="10800000" flipV="1">
                          <a:off x="3306371" y="3409692"/>
                          <a:ext cx="652121" cy="240280"/>
                        </a:xfrm>
                        <a:prstGeom prst="line">
                          <a:avLst/>
                        </a:prstGeom>
                        <a:solidFill>
                          <a:schemeClr val="accent1"/>
                        </a:solidFill>
                        <a:ln w="9525" cap="flat" cmpd="sng" algn="ctr">
                          <a:solidFill>
                            <a:schemeClr val="tx1"/>
                          </a:solidFill>
                          <a:prstDash val="solid"/>
                          <a:round/>
                          <a:headEnd type="none" w="med" len="med"/>
                          <a:tailEnd type="triangle" w="med" len="med"/>
                        </a:ln>
                        <a:effectLst/>
                      </a:spPr>
                    </a:cxnSp>
                    <a:cxnSp>
                      <a:nvCxnSpPr>
                        <a:cNvPr id="14" name="Straight Connector 13"/>
                        <a:cNvCxnSpPr/>
                      </a:nvCxnSpPr>
                      <a:spPr bwMode="auto">
                        <a:xfrm rot="10800000" flipV="1">
                          <a:off x="3100438" y="3409692"/>
                          <a:ext cx="869495" cy="594980"/>
                        </a:xfrm>
                        <a:prstGeom prst="line">
                          <a:avLst/>
                        </a:prstGeom>
                        <a:solidFill>
                          <a:schemeClr val="accent1"/>
                        </a:solidFill>
                        <a:ln w="9525" cap="flat" cmpd="sng" algn="ctr">
                          <a:solidFill>
                            <a:schemeClr val="tx1"/>
                          </a:solidFill>
                          <a:prstDash val="solid"/>
                          <a:round/>
                          <a:headEnd type="none" w="med" len="med"/>
                          <a:tailEnd type="triangle" w="med" len="med"/>
                        </a:ln>
                        <a:effectLst/>
                      </a:spPr>
                    </a:cxnSp>
                  </a:grpSp>
                  <a:sp>
                    <a:nvSpPr>
                      <a:cNvPr id="18" name="TextBox 17"/>
                      <a:cNvSpPr txBox="1"/>
                    </a:nvSpPr>
                    <a:spPr>
                      <a:xfrm>
                        <a:off x="3664703" y="5461450"/>
                        <a:ext cx="1865302" cy="369332"/>
                      </a:xfrm>
                      <a:prstGeom prst="rect">
                        <a:avLst/>
                      </a:prstGeom>
                      <a:noFill/>
                    </a:spPr>
                    <a:txSp>
                      <a:txBody>
                        <a:bodyPr wrap="none" rtlCol="0">
                          <a:spAutoFit/>
                        </a:bodyPr>
                        <a:lstStyle>
                          <a:defPPr>
                            <a:defRPr lang="en-US"/>
                          </a:defPPr>
                          <a:lvl1pPr algn="l" rtl="0" eaLnBrk="0" fontAlgn="base" hangingPunct="0">
                            <a:spcBef>
                              <a:spcPct val="0"/>
                            </a:spcBef>
                            <a:spcAft>
                              <a:spcPct val="0"/>
                            </a:spcAft>
                            <a:defRPr kern="1200">
                              <a:solidFill>
                                <a:schemeClr val="tx1"/>
                              </a:solidFill>
                              <a:latin typeface="Arial" pitchFamily="-65" charset="0"/>
                              <a:ea typeface="+mn-ea"/>
                              <a:cs typeface="+mn-cs"/>
                            </a:defRPr>
                          </a:lvl1pPr>
                          <a:lvl2pPr marL="457200" algn="l" rtl="0" eaLnBrk="0" fontAlgn="base" hangingPunct="0">
                            <a:spcBef>
                              <a:spcPct val="0"/>
                            </a:spcBef>
                            <a:spcAft>
                              <a:spcPct val="0"/>
                            </a:spcAft>
                            <a:defRPr kern="1200">
                              <a:solidFill>
                                <a:schemeClr val="tx1"/>
                              </a:solidFill>
                              <a:latin typeface="Arial" pitchFamily="-65" charset="0"/>
                              <a:ea typeface="+mn-ea"/>
                              <a:cs typeface="+mn-cs"/>
                            </a:defRPr>
                          </a:lvl2pPr>
                          <a:lvl3pPr marL="914400" algn="l" rtl="0" eaLnBrk="0" fontAlgn="base" hangingPunct="0">
                            <a:spcBef>
                              <a:spcPct val="0"/>
                            </a:spcBef>
                            <a:spcAft>
                              <a:spcPct val="0"/>
                            </a:spcAft>
                            <a:defRPr kern="1200">
                              <a:solidFill>
                                <a:schemeClr val="tx1"/>
                              </a:solidFill>
                              <a:latin typeface="Arial" pitchFamily="-65" charset="0"/>
                              <a:ea typeface="+mn-ea"/>
                              <a:cs typeface="+mn-cs"/>
                            </a:defRPr>
                          </a:lvl3pPr>
                          <a:lvl4pPr marL="1371600" algn="l" rtl="0" eaLnBrk="0" fontAlgn="base" hangingPunct="0">
                            <a:spcBef>
                              <a:spcPct val="0"/>
                            </a:spcBef>
                            <a:spcAft>
                              <a:spcPct val="0"/>
                            </a:spcAft>
                            <a:defRPr kern="1200">
                              <a:solidFill>
                                <a:schemeClr val="tx1"/>
                              </a:solidFill>
                              <a:latin typeface="Arial" pitchFamily="-65" charset="0"/>
                              <a:ea typeface="+mn-ea"/>
                              <a:cs typeface="+mn-cs"/>
                            </a:defRPr>
                          </a:lvl4pPr>
                          <a:lvl5pPr marL="1828800" algn="l" rtl="0" eaLnBrk="0" fontAlgn="base" hangingPunct="0">
                            <a:spcBef>
                              <a:spcPct val="0"/>
                            </a:spcBef>
                            <a:spcAft>
                              <a:spcPct val="0"/>
                            </a:spcAft>
                            <a:defRPr kern="1200">
                              <a:solidFill>
                                <a:schemeClr val="tx1"/>
                              </a:solidFill>
                              <a:latin typeface="Arial" pitchFamily="-65" charset="0"/>
                              <a:ea typeface="+mn-ea"/>
                              <a:cs typeface="+mn-cs"/>
                            </a:defRPr>
                          </a:lvl5pPr>
                          <a:lvl6pPr marL="2286000" algn="l" defTabSz="457200" rtl="0" eaLnBrk="1" latinLnBrk="0" hangingPunct="1">
                            <a:defRPr kern="1200">
                              <a:solidFill>
                                <a:schemeClr val="tx1"/>
                              </a:solidFill>
                              <a:latin typeface="Arial" pitchFamily="-65" charset="0"/>
                              <a:ea typeface="+mn-ea"/>
                              <a:cs typeface="+mn-cs"/>
                            </a:defRPr>
                          </a:lvl6pPr>
                          <a:lvl7pPr marL="2743200" algn="l" defTabSz="457200" rtl="0" eaLnBrk="1" latinLnBrk="0" hangingPunct="1">
                            <a:defRPr kern="1200">
                              <a:solidFill>
                                <a:schemeClr val="tx1"/>
                              </a:solidFill>
                              <a:latin typeface="Arial" pitchFamily="-65" charset="0"/>
                              <a:ea typeface="+mn-ea"/>
                              <a:cs typeface="+mn-cs"/>
                            </a:defRPr>
                          </a:lvl7pPr>
                          <a:lvl8pPr marL="3200400" algn="l" defTabSz="457200" rtl="0" eaLnBrk="1" latinLnBrk="0" hangingPunct="1">
                            <a:defRPr kern="1200">
                              <a:solidFill>
                                <a:schemeClr val="tx1"/>
                              </a:solidFill>
                              <a:latin typeface="Arial" pitchFamily="-65" charset="0"/>
                              <a:ea typeface="+mn-ea"/>
                              <a:cs typeface="+mn-cs"/>
                            </a:defRPr>
                          </a:lvl8pPr>
                          <a:lvl9pPr marL="3657600" algn="l" defTabSz="457200" rtl="0" eaLnBrk="1" latinLnBrk="0" hangingPunct="1">
                            <a:defRPr kern="1200">
                              <a:solidFill>
                                <a:schemeClr val="tx1"/>
                              </a:solidFill>
                              <a:latin typeface="Arial" pitchFamily="-65" charset="0"/>
                              <a:ea typeface="+mn-ea"/>
                              <a:cs typeface="+mn-cs"/>
                            </a:defRPr>
                          </a:lvl9pPr>
                        </a:lstStyle>
                        <a:p>
                          <a:r>
                            <a:rPr lang="en-US" dirty="0" smtClean="0"/>
                            <a:t>Parallel Transfer</a:t>
                          </a:r>
                          <a:endParaRPr lang="en-US" dirty="0"/>
                        </a:p>
                      </a:txBody>
                      <a:useSpRect/>
                    </a:txSp>
                  </a:sp>
                  <a:grpSp>
                    <a:nvGrpSpPr>
                      <a:cNvPr id="24" name="Group 23"/>
                      <a:cNvGrpSpPr/>
                    </a:nvGrpSpPr>
                    <a:grpSpPr>
                      <a:xfrm>
                        <a:off x="2760887" y="4900796"/>
                        <a:ext cx="869495" cy="1338705"/>
                        <a:chOff x="2760887" y="4900796"/>
                        <a:chExt cx="869495" cy="1338705"/>
                      </a:xfrm>
                    </a:grpSpPr>
                    <a:cxnSp>
                      <a:nvCxnSpPr>
                        <a:cNvPr id="19" name="Straight Connector 18"/>
                        <a:cNvCxnSpPr/>
                      </a:nvCxnSpPr>
                      <a:spPr bwMode="auto">
                        <a:xfrm rot="16200000" flipV="1">
                          <a:off x="3189883" y="5043835"/>
                          <a:ext cx="583538" cy="297459"/>
                        </a:xfrm>
                        <a:prstGeom prst="line">
                          <a:avLst/>
                        </a:prstGeom>
                        <a:solidFill>
                          <a:schemeClr val="accent1"/>
                        </a:solidFill>
                        <a:ln w="9525" cap="flat" cmpd="sng" algn="ctr">
                          <a:solidFill>
                            <a:schemeClr val="tx1"/>
                          </a:solidFill>
                          <a:prstDash val="solid"/>
                          <a:round/>
                          <a:headEnd type="none" w="med" len="med"/>
                          <a:tailEnd type="triangle" w="med" len="med"/>
                        </a:ln>
                        <a:effectLst/>
                      </a:spPr>
                    </a:cxnSp>
                    <a:cxnSp>
                      <a:nvCxnSpPr>
                        <a:cNvPr id="20" name="Straight Connector 19"/>
                        <a:cNvCxnSpPr/>
                      </a:nvCxnSpPr>
                      <a:spPr bwMode="auto">
                        <a:xfrm rot="10800000">
                          <a:off x="3241397" y="5255496"/>
                          <a:ext cx="388985" cy="251722"/>
                        </a:xfrm>
                        <a:prstGeom prst="line">
                          <a:avLst/>
                        </a:prstGeom>
                        <a:solidFill>
                          <a:schemeClr val="accent1"/>
                        </a:solidFill>
                        <a:ln w="9525" cap="flat" cmpd="sng" algn="ctr">
                          <a:solidFill>
                            <a:schemeClr val="tx1"/>
                          </a:solidFill>
                          <a:prstDash val="solid"/>
                          <a:round/>
                          <a:headEnd type="none" w="med" len="med"/>
                          <a:tailEnd type="triangle" w="med" len="med"/>
                        </a:ln>
                        <a:effectLst/>
                      </a:spPr>
                    </a:cxnSp>
                    <a:cxnSp>
                      <a:nvCxnSpPr>
                        <a:cNvPr id="21" name="Straight Connector 20"/>
                        <a:cNvCxnSpPr/>
                      </a:nvCxnSpPr>
                      <a:spPr bwMode="auto">
                        <a:xfrm rot="10800000">
                          <a:off x="3115549" y="5575869"/>
                          <a:ext cx="514833" cy="68652"/>
                        </a:xfrm>
                        <a:prstGeom prst="line">
                          <a:avLst/>
                        </a:prstGeom>
                        <a:solidFill>
                          <a:schemeClr val="accent1"/>
                        </a:solidFill>
                        <a:ln w="9525" cap="flat" cmpd="sng" algn="ctr">
                          <a:solidFill>
                            <a:schemeClr val="tx1"/>
                          </a:solidFill>
                          <a:prstDash val="solid"/>
                          <a:round/>
                          <a:headEnd type="none" w="med" len="med"/>
                          <a:tailEnd type="triangle" w="med" len="med"/>
                        </a:ln>
                        <a:effectLst/>
                      </a:spPr>
                    </a:cxnSp>
                    <a:cxnSp>
                      <a:nvCxnSpPr>
                        <a:cNvPr id="22" name="Straight Connector 21"/>
                        <a:cNvCxnSpPr/>
                      </a:nvCxnSpPr>
                      <a:spPr bwMode="auto">
                        <a:xfrm rot="10800000" flipV="1">
                          <a:off x="2966820" y="5644521"/>
                          <a:ext cx="652121" cy="240280"/>
                        </a:xfrm>
                        <a:prstGeom prst="line">
                          <a:avLst/>
                        </a:prstGeom>
                        <a:solidFill>
                          <a:schemeClr val="accent1"/>
                        </a:solidFill>
                        <a:ln w="9525" cap="flat" cmpd="sng" algn="ctr">
                          <a:solidFill>
                            <a:schemeClr val="tx1"/>
                          </a:solidFill>
                          <a:prstDash val="solid"/>
                          <a:round/>
                          <a:headEnd type="none" w="med" len="med"/>
                          <a:tailEnd type="triangle" w="med" len="med"/>
                        </a:ln>
                        <a:effectLst/>
                      </a:spPr>
                    </a:cxnSp>
                    <a:cxnSp>
                      <a:nvCxnSpPr>
                        <a:cNvPr id="23" name="Straight Connector 22"/>
                        <a:cNvCxnSpPr/>
                      </a:nvCxnSpPr>
                      <a:spPr bwMode="auto">
                        <a:xfrm rot="10800000" flipV="1">
                          <a:off x="2760887" y="5644521"/>
                          <a:ext cx="869495" cy="594980"/>
                        </a:xfrm>
                        <a:prstGeom prst="line">
                          <a:avLst/>
                        </a:prstGeom>
                        <a:solidFill>
                          <a:schemeClr val="accent1"/>
                        </a:solidFill>
                        <a:ln w="9525" cap="flat" cmpd="sng" algn="ctr">
                          <a:solidFill>
                            <a:schemeClr val="tx1"/>
                          </a:solidFill>
                          <a:prstDash val="solid"/>
                          <a:round/>
                          <a:headEnd type="none" w="med" len="med"/>
                          <a:tailEnd type="triangle" w="med" len="med"/>
                        </a:ln>
                        <a:effectLst/>
                      </a:spPr>
                    </a:cxnSp>
                  </a:grpSp>
                  <a:grpSp>
                    <a:nvGrpSpPr>
                      <a:cNvPr id="25" name="Group 24"/>
                      <a:cNvGrpSpPr/>
                    </a:nvGrpSpPr>
                    <a:grpSpPr>
                      <a:xfrm rot="10800000">
                        <a:off x="5567535" y="4973102"/>
                        <a:ext cx="869495" cy="1338705"/>
                        <a:chOff x="2760887" y="4900796"/>
                        <a:chExt cx="869495" cy="1338705"/>
                      </a:xfrm>
                    </a:grpSpPr>
                    <a:cxnSp>
                      <a:nvCxnSpPr>
                        <a:cNvPr id="26" name="Straight Connector 25"/>
                        <a:cNvCxnSpPr/>
                      </a:nvCxnSpPr>
                      <a:spPr bwMode="auto">
                        <a:xfrm rot="16200000" flipV="1">
                          <a:off x="3189883" y="5043835"/>
                          <a:ext cx="583538" cy="297459"/>
                        </a:xfrm>
                        <a:prstGeom prst="line">
                          <a:avLst/>
                        </a:prstGeom>
                        <a:solidFill>
                          <a:schemeClr val="accent1"/>
                        </a:solidFill>
                        <a:ln w="9525" cap="flat" cmpd="sng" algn="ctr">
                          <a:solidFill>
                            <a:schemeClr val="tx1"/>
                          </a:solidFill>
                          <a:prstDash val="solid"/>
                          <a:round/>
                          <a:headEnd type="none" w="med" len="med"/>
                          <a:tailEnd type="triangle" w="med" len="med"/>
                        </a:ln>
                        <a:effectLst/>
                      </a:spPr>
                    </a:cxnSp>
                    <a:cxnSp>
                      <a:nvCxnSpPr>
                        <a:cNvPr id="27" name="Straight Connector 26"/>
                        <a:cNvCxnSpPr/>
                      </a:nvCxnSpPr>
                      <a:spPr bwMode="auto">
                        <a:xfrm rot="10800000">
                          <a:off x="3241397" y="5255496"/>
                          <a:ext cx="388985" cy="251722"/>
                        </a:xfrm>
                        <a:prstGeom prst="line">
                          <a:avLst/>
                        </a:prstGeom>
                        <a:solidFill>
                          <a:schemeClr val="accent1"/>
                        </a:solidFill>
                        <a:ln w="9525" cap="flat" cmpd="sng" algn="ctr">
                          <a:solidFill>
                            <a:schemeClr val="tx1"/>
                          </a:solidFill>
                          <a:prstDash val="solid"/>
                          <a:round/>
                          <a:headEnd type="none" w="med" len="med"/>
                          <a:tailEnd type="triangle" w="med" len="med"/>
                        </a:ln>
                        <a:effectLst/>
                      </a:spPr>
                    </a:cxnSp>
                    <a:cxnSp>
                      <a:nvCxnSpPr>
                        <a:cNvPr id="28" name="Straight Connector 27"/>
                        <a:cNvCxnSpPr/>
                      </a:nvCxnSpPr>
                      <a:spPr bwMode="auto">
                        <a:xfrm rot="10800000">
                          <a:off x="3115549" y="5575869"/>
                          <a:ext cx="514833" cy="68652"/>
                        </a:xfrm>
                        <a:prstGeom prst="line">
                          <a:avLst/>
                        </a:prstGeom>
                        <a:solidFill>
                          <a:schemeClr val="accent1"/>
                        </a:solidFill>
                        <a:ln w="9525" cap="flat" cmpd="sng" algn="ctr">
                          <a:solidFill>
                            <a:schemeClr val="tx1"/>
                          </a:solidFill>
                          <a:prstDash val="solid"/>
                          <a:round/>
                          <a:headEnd type="none" w="med" len="med"/>
                          <a:tailEnd type="triangle" w="med" len="med"/>
                        </a:ln>
                        <a:effectLst/>
                      </a:spPr>
                    </a:cxnSp>
                    <a:cxnSp>
                      <a:nvCxnSpPr>
                        <a:cNvPr id="29" name="Straight Connector 28"/>
                        <a:cNvCxnSpPr/>
                      </a:nvCxnSpPr>
                      <a:spPr bwMode="auto">
                        <a:xfrm rot="10800000" flipV="1">
                          <a:off x="2966820" y="5644521"/>
                          <a:ext cx="652121" cy="240280"/>
                        </a:xfrm>
                        <a:prstGeom prst="line">
                          <a:avLst/>
                        </a:prstGeom>
                        <a:solidFill>
                          <a:schemeClr val="accent1"/>
                        </a:solidFill>
                        <a:ln w="9525" cap="flat" cmpd="sng" algn="ctr">
                          <a:solidFill>
                            <a:schemeClr val="tx1"/>
                          </a:solidFill>
                          <a:prstDash val="solid"/>
                          <a:round/>
                          <a:headEnd type="none" w="med" len="med"/>
                          <a:tailEnd type="triangle" w="med" len="med"/>
                        </a:ln>
                        <a:effectLst/>
                      </a:spPr>
                    </a:cxnSp>
                    <a:cxnSp>
                      <a:nvCxnSpPr>
                        <a:cNvPr id="30" name="Straight Connector 29"/>
                        <a:cNvCxnSpPr/>
                      </a:nvCxnSpPr>
                      <a:spPr bwMode="auto">
                        <a:xfrm rot="10800000" flipV="1">
                          <a:off x="2760887" y="5644521"/>
                          <a:ext cx="869495" cy="594980"/>
                        </a:xfrm>
                        <a:prstGeom prst="line">
                          <a:avLst/>
                        </a:prstGeom>
                        <a:solidFill>
                          <a:schemeClr val="accent1"/>
                        </a:solidFill>
                        <a:ln w="9525" cap="flat" cmpd="sng" algn="ctr">
                          <a:solidFill>
                            <a:schemeClr val="tx1"/>
                          </a:solidFill>
                          <a:prstDash val="solid"/>
                          <a:round/>
                          <a:headEnd type="none" w="med" len="med"/>
                          <a:tailEnd type="triangle" w="med" len="med"/>
                        </a:ln>
                        <a:effectLst/>
                      </a:spPr>
                    </a:cxnSp>
                  </a:grpSp>
                </lc:lockedCanvas>
              </a:graphicData>
            </a:graphic>
          </wp:inline>
        </w:drawing>
      </w:r>
    </w:p>
    <w:p w:rsidR="00404448" w:rsidRPr="003E2442" w:rsidRDefault="00404448" w:rsidP="00404448">
      <w:pPr>
        <w:pStyle w:val="Caption"/>
      </w:pPr>
      <w:bookmarkStart w:id="198" w:name="_Ref105497405"/>
      <w:bookmarkStart w:id="199" w:name="_Toc322942267"/>
      <w:r>
        <w:t xml:space="preserve">Figure </w:t>
      </w:r>
      <w:fldSimple w:instr=" SEQ Figure \* ARABIC ">
        <w:r w:rsidR="000D2EB4">
          <w:rPr>
            <w:noProof/>
          </w:rPr>
          <w:t>37</w:t>
        </w:r>
      </w:fldSimple>
      <w:bookmarkEnd w:id="198"/>
      <w:r>
        <w:t xml:space="preserve">:  Zoom showing Parallel and Frame Transfer pixels in detail, marked as “Zoom 3” in </w:t>
      </w:r>
      <w:r w:rsidR="004C78B9">
        <w:fldChar w:fldCharType="begin"/>
      </w:r>
      <w:r w:rsidR="00C903B6">
        <w:instrText xml:space="preserve"> REF _Ref201589572 \h </w:instrText>
      </w:r>
      <w:r w:rsidR="004C78B9">
        <w:fldChar w:fldCharType="separate"/>
      </w:r>
      <w:r w:rsidR="000D2EB4">
        <w:t xml:space="preserve">Figure </w:t>
      </w:r>
      <w:r w:rsidR="000D2EB4">
        <w:rPr>
          <w:noProof/>
        </w:rPr>
        <w:t>36</w:t>
      </w:r>
      <w:r w:rsidR="004C78B9">
        <w:fldChar w:fldCharType="end"/>
      </w:r>
      <w:r>
        <w:t>.  Note that the crosstalk has a widely varying amplitude within each crosstalk type. The image is linearly scaled to 26 DN/frame.</w:t>
      </w:r>
      <w:bookmarkEnd w:id="199"/>
    </w:p>
    <w:p w:rsidR="00404448" w:rsidRDefault="00404448" w:rsidP="00404448">
      <w:pPr>
        <w:pStyle w:val="Heading3"/>
      </w:pPr>
      <w:bookmarkStart w:id="200" w:name="_Ref205714412"/>
      <w:bookmarkStart w:id="201" w:name="_Ref205716616"/>
      <w:bookmarkStart w:id="202" w:name="_Toc322942196"/>
      <w:r>
        <w:t>Photometric Consequences</w:t>
      </w:r>
      <w:bookmarkEnd w:id="202"/>
    </w:p>
    <w:p w:rsidR="00404448" w:rsidRPr="00421C75" w:rsidRDefault="00404448" w:rsidP="00404448">
      <w:r>
        <w:t>Since the crosstalk always appears on the same pixels, only variations with temperature and explicitly with time need be considered.  Empirically, explicitly secular variations die out a few days after the LDE is turned on, and since the LDE is meant to stay on for the duration of the mission – barring Safe Mode (</w:t>
      </w:r>
      <w:r w:rsidR="00E607E6">
        <w:t>§</w:t>
      </w:r>
      <w:r w:rsidR="004C78B9">
        <w:fldChar w:fldCharType="begin"/>
      </w:r>
      <w:r w:rsidR="00C903B6">
        <w:instrText xml:space="preserve"> REF _Ref105498584 \r \h </w:instrText>
      </w:r>
      <w:r w:rsidR="004C78B9">
        <w:fldChar w:fldCharType="separate"/>
      </w:r>
      <w:r w:rsidR="000D2EB4">
        <w:t>7.1</w:t>
      </w:r>
      <w:r w:rsidR="004C78B9">
        <w:fldChar w:fldCharType="end"/>
      </w:r>
      <w:r>
        <w:t>) events – they are generally negligible.  On the other hand, the temperature coefficient of some pixel types on some channels exceed 0.30 DN frame/pixel/K, so thermal variations must be corrected.</w:t>
      </w:r>
    </w:p>
    <w:p w:rsidR="00404448" w:rsidRDefault="00404448" w:rsidP="00404448">
      <w:pPr>
        <w:pStyle w:val="Heading3"/>
      </w:pPr>
      <w:bookmarkStart w:id="203" w:name="_Toc322942197"/>
      <w:r>
        <w:t>Mitigation</w:t>
      </w:r>
      <w:bookmarkEnd w:id="203"/>
    </w:p>
    <w:p w:rsidR="00404448" w:rsidRDefault="00404448" w:rsidP="00404448">
      <w:pPr>
        <w:pStyle w:val="Default"/>
        <w:rPr>
          <w:sz w:val="20"/>
        </w:rPr>
      </w:pPr>
      <w:r>
        <w:rPr>
          <w:sz w:val="20"/>
        </w:rPr>
        <w:t xml:space="preserve">FGS crosstalk mitigation is the best-understood Artifact at this time, and hence has a formal correction algorithm.  It </w:t>
      </w:r>
      <w:r w:rsidR="00F0715F">
        <w:rPr>
          <w:sz w:val="20"/>
        </w:rPr>
        <w:t>is</w:t>
      </w:r>
      <w:r>
        <w:rPr>
          <w:sz w:val="20"/>
        </w:rPr>
        <w:t xml:space="preserve"> mitigated by constructing a two-dimensional model of the black output of each channel, which can in principle be different for each LC (</w:t>
      </w:r>
      <w:r w:rsidRPr="00577FF3">
        <w:rPr>
          <w:i/>
          <w:sz w:val="20"/>
        </w:rPr>
        <w:t>dynamic</w:t>
      </w:r>
      <w:r>
        <w:rPr>
          <w:sz w:val="20"/>
        </w:rPr>
        <w:t xml:space="preserve"> black), unlike th</w:t>
      </w:r>
      <w:r w:rsidR="00F0715F">
        <w:rPr>
          <w:sz w:val="20"/>
        </w:rPr>
        <w:t>e</w:t>
      </w:r>
      <w:r>
        <w:rPr>
          <w:sz w:val="20"/>
        </w:rPr>
        <w:t xml:space="preserve"> </w:t>
      </w:r>
      <w:r w:rsidR="00F0715F">
        <w:rPr>
          <w:sz w:val="20"/>
        </w:rPr>
        <w:t xml:space="preserve">original </w:t>
      </w:r>
      <w:r>
        <w:rPr>
          <w:sz w:val="20"/>
        </w:rPr>
        <w:t xml:space="preserve">data </w:t>
      </w:r>
      <w:r w:rsidR="00144D91">
        <w:rPr>
          <w:sz w:val="20"/>
        </w:rPr>
        <w:t>processing pipeline</w:t>
      </w:r>
      <w:r>
        <w:rPr>
          <w:sz w:val="20"/>
        </w:rPr>
        <w:t>, which applie</w:t>
      </w:r>
      <w:r w:rsidR="00F0715F">
        <w:rPr>
          <w:sz w:val="20"/>
        </w:rPr>
        <w:t>d</w:t>
      </w:r>
      <w:r>
        <w:rPr>
          <w:sz w:val="20"/>
        </w:rPr>
        <w:t xml:space="preserve"> the same 2D black to all LCs (</w:t>
      </w:r>
      <w:r w:rsidRPr="00577FF3">
        <w:rPr>
          <w:i/>
          <w:sz w:val="20"/>
        </w:rPr>
        <w:t>static</w:t>
      </w:r>
      <w:r>
        <w:rPr>
          <w:sz w:val="20"/>
        </w:rPr>
        <w:t xml:space="preserve"> black). The black model is then subtracted from the data during pixel-level calibration.  This dynamic </w:t>
      </w:r>
      <w:r w:rsidRPr="00577FF3">
        <w:rPr>
          <w:sz w:val="20"/>
        </w:rPr>
        <w:t xml:space="preserve">model </w:t>
      </w:r>
      <w:r>
        <w:rPr>
          <w:sz w:val="20"/>
        </w:rPr>
        <w:t>has three parts:</w:t>
      </w:r>
    </w:p>
    <w:p w:rsidR="00404448" w:rsidRPr="00577FF3" w:rsidRDefault="00404448" w:rsidP="00404448">
      <w:pPr>
        <w:pStyle w:val="Default"/>
        <w:rPr>
          <w:sz w:val="20"/>
        </w:rPr>
      </w:pPr>
    </w:p>
    <w:p w:rsidR="00404448" w:rsidRPr="00577FF3" w:rsidRDefault="00404448" w:rsidP="00404448">
      <w:pPr>
        <w:pStyle w:val="Default"/>
        <w:numPr>
          <w:ilvl w:val="0"/>
          <w:numId w:val="47"/>
        </w:numPr>
        <w:rPr>
          <w:sz w:val="20"/>
        </w:rPr>
      </w:pPr>
      <w:r w:rsidRPr="00577FF3">
        <w:rPr>
          <w:sz w:val="20"/>
        </w:rPr>
        <w:t>A spatially invariant component</w:t>
      </w:r>
    </w:p>
    <w:p w:rsidR="00404448" w:rsidRPr="00577FF3" w:rsidRDefault="00404448" w:rsidP="00404448">
      <w:pPr>
        <w:pStyle w:val="Default"/>
        <w:numPr>
          <w:ilvl w:val="0"/>
          <w:numId w:val="47"/>
        </w:numPr>
        <w:rPr>
          <w:sz w:val="20"/>
        </w:rPr>
      </w:pPr>
      <w:r w:rsidRPr="00577FF3">
        <w:rPr>
          <w:sz w:val="20"/>
        </w:rPr>
        <w:t>A smoothly varying spatial component representing the serial clocking FGS pixel offset from constant.</w:t>
      </w:r>
    </w:p>
    <w:p w:rsidR="00404448" w:rsidRDefault="00404448" w:rsidP="00404448">
      <w:pPr>
        <w:pStyle w:val="Default"/>
        <w:numPr>
          <w:ilvl w:val="0"/>
          <w:numId w:val="47"/>
        </w:numPr>
        <w:rPr>
          <w:sz w:val="20"/>
        </w:rPr>
      </w:pPr>
      <w:r w:rsidRPr="00577FF3">
        <w:rPr>
          <w:sz w:val="20"/>
        </w:rPr>
        <w:t xml:space="preserve">A discrete spatial component representing the offsets </w:t>
      </w:r>
      <w:r>
        <w:rPr>
          <w:sz w:val="20"/>
        </w:rPr>
        <w:t xml:space="preserve">of </w:t>
      </w:r>
      <w:r w:rsidRPr="00577FF3">
        <w:rPr>
          <w:sz w:val="20"/>
        </w:rPr>
        <w:t>various types of parallel and frame clocking FGS pixel</w:t>
      </w:r>
      <w:r>
        <w:rPr>
          <w:sz w:val="20"/>
        </w:rPr>
        <w:t>s</w:t>
      </w:r>
      <w:r w:rsidRPr="00577FF3">
        <w:rPr>
          <w:sz w:val="20"/>
        </w:rPr>
        <w:t xml:space="preserve"> from neighboring serial pixel values.</w:t>
      </w:r>
    </w:p>
    <w:p w:rsidR="00404448" w:rsidRDefault="00404448" w:rsidP="00404448">
      <w:pPr>
        <w:rPr>
          <w:rFonts w:eastAsia="Times New Roman"/>
        </w:rPr>
      </w:pPr>
    </w:p>
    <w:p w:rsidR="006A0B64" w:rsidRPr="0001286E" w:rsidRDefault="00404448" w:rsidP="006A0B64">
      <w:r>
        <w:t xml:space="preserve">To construct an estimate of the 2D black levels for a specific </w:t>
      </w:r>
      <w:r w:rsidR="004A3FBE" w:rsidRPr="004A3FBE">
        <w:rPr>
          <w:i/>
        </w:rPr>
        <w:t>Kepler</w:t>
      </w:r>
      <w:r>
        <w:t xml:space="preserve"> exposure, these components are calculated based on a combination of information specific to that exposure and information regarding temporal and thermal trends obtained over an extended series of exposures and reverse-clocked images. The detailed formalism for correcting FGS crosstalk and other artifacts is shown in</w:t>
      </w:r>
      <w:r w:rsidR="006A0B64">
        <w:t xml:space="preserve"> </w:t>
      </w:r>
      <w:r w:rsidR="006A0B64">
        <w:rPr>
          <w:bCs/>
        </w:rPr>
        <w:t xml:space="preserve">Kolodziejczak </w:t>
      </w:r>
      <w:r w:rsidR="006A0B64" w:rsidRPr="00107809">
        <w:rPr>
          <w:bCs/>
          <w:i/>
        </w:rPr>
        <w:t>et al</w:t>
      </w:r>
      <w:r w:rsidR="00DC0108">
        <w:rPr>
          <w:bCs/>
        </w:rPr>
        <w:t>. (2010) and the KDPH.</w:t>
      </w:r>
    </w:p>
    <w:p w:rsidR="00404448" w:rsidRPr="00421C75" w:rsidRDefault="00404448" w:rsidP="00404448"/>
    <w:p w:rsidR="00404448" w:rsidRPr="00394F88" w:rsidRDefault="00404448" w:rsidP="00404448">
      <w:pPr>
        <w:pStyle w:val="Heading2"/>
        <w:rPr>
          <w:sz w:val="22"/>
        </w:rPr>
      </w:pPr>
      <w:bookmarkStart w:id="204" w:name="_Toc322942198"/>
      <w:r w:rsidRPr="00394F88">
        <w:rPr>
          <w:sz w:val="22"/>
        </w:rPr>
        <w:t>Video Crosstalk</w:t>
      </w:r>
      <w:bookmarkEnd w:id="200"/>
      <w:bookmarkEnd w:id="201"/>
      <w:bookmarkEnd w:id="204"/>
    </w:p>
    <w:p w:rsidR="00404448" w:rsidRDefault="00404448" w:rsidP="00404448">
      <w:r>
        <w:t>Science-to-Science Video crosstalk is the coupling between the outputs pixels s</w:t>
      </w:r>
      <w:r>
        <w:rPr>
          <w:vertAlign w:val="subscript"/>
        </w:rPr>
        <w:t>morc</w:t>
      </w:r>
      <w:r>
        <w:t xml:space="preserve"> and s</w:t>
      </w:r>
      <w:r>
        <w:rPr>
          <w:vertAlign w:val="subscript"/>
        </w:rPr>
        <w:t>m’o’rc</w:t>
      </w:r>
      <w:r>
        <w:t xml:space="preserve">, using the MORC notation of </w:t>
      </w:r>
      <w:r w:rsidR="00E607E6">
        <w:t>§</w:t>
      </w:r>
      <w:r w:rsidR="004C78B9">
        <w:fldChar w:fldCharType="begin"/>
      </w:r>
      <w:r w:rsidR="00C903B6">
        <w:instrText xml:space="preserve"> REF _Ref205709468 \r \h </w:instrText>
      </w:r>
      <w:r w:rsidR="004C78B9">
        <w:fldChar w:fldCharType="separate"/>
      </w:r>
      <w:r w:rsidR="000D2EB4">
        <w:t>4.3</w:t>
      </w:r>
      <w:r w:rsidR="004C78B9">
        <w:fldChar w:fldCharType="end"/>
      </w:r>
      <w:r>
        <w:t>.  It can be responsible for false positives if there is a time-varying source at nontarget source pixel s</w:t>
      </w:r>
      <w:r>
        <w:rPr>
          <w:vertAlign w:val="subscript"/>
        </w:rPr>
        <w:t>morc</w:t>
      </w:r>
      <w:r>
        <w:t xml:space="preserve"> which couples to the target pixel s</w:t>
      </w:r>
      <w:r>
        <w:rPr>
          <w:vertAlign w:val="subscript"/>
        </w:rPr>
        <w:t>m’o’rc</w:t>
      </w:r>
      <w:r>
        <w:t xml:space="preserve">. Empirically, intramodule crosstalk -- the coupling between the different outputs of a given module (m = m’,o </w:t>
      </w:r>
      <w:r>
        <w:rPr>
          <w:rFonts w:cs="Arial"/>
        </w:rPr>
        <w:t>≠</w:t>
      </w:r>
      <w:r>
        <w:t xml:space="preserve"> o’) --  is significant, while the intermodule crosstalk (m </w:t>
      </w:r>
      <w:r>
        <w:rPr>
          <w:rFonts w:cs="Arial"/>
        </w:rPr>
        <w:t>≠</w:t>
      </w:r>
      <w:r>
        <w:t xml:space="preserve"> m’) is not.  This is not surprising, since the LDE was designed with shields between the board pairs and staggered module read-out (time slice) to eliminate intermodule crosstalk, but there is no way to isolate a module from itself. The intramodule crosstalk can be positive, negative, or negligible, but is assumed to be the same for all r and c for a given set of m, m’, o, and o’.  It is not necessarily true that the o</w:t>
      </w:r>
      <w:r>
        <w:sym w:font="Wingdings" w:char="F0E0"/>
      </w:r>
      <w:r>
        <w:t>o’ crosstalk is equal to the o’</w:t>
      </w:r>
      <w:r>
        <w:sym w:font="Wingdings" w:char="F0E0"/>
      </w:r>
      <w:r>
        <w:t xml:space="preserve">o crosstalk.  The largest value observed is -46 dB, or a factor of 200 attenuation between source and target pixels, so in some cases follow-up observations of the objects at the same m, r, and c but different o may be needed to rule out </w:t>
      </w:r>
      <w:r w:rsidR="00E12CF4">
        <w:t>bogus signals</w:t>
      </w:r>
      <w:r>
        <w:t xml:space="preserve"> in the target pixels.  See </w:t>
      </w:r>
      <w:r w:rsidR="004C78B9">
        <w:fldChar w:fldCharType="begin"/>
      </w:r>
      <w:r w:rsidR="00C903B6">
        <w:instrText xml:space="preserve"> REF _Ref105669585 \h </w:instrText>
      </w:r>
      <w:r w:rsidR="004C78B9">
        <w:fldChar w:fldCharType="separate"/>
      </w:r>
      <w:r w:rsidR="000D2EB4">
        <w:t xml:space="preserve">Figure </w:t>
      </w:r>
      <w:r w:rsidR="000D2EB4">
        <w:rPr>
          <w:noProof/>
        </w:rPr>
        <w:t>38</w:t>
      </w:r>
      <w:r w:rsidR="004C78B9">
        <w:fldChar w:fldCharType="end"/>
      </w:r>
      <w:r>
        <w:t xml:space="preserve"> for an example.</w:t>
      </w:r>
      <w:r w:rsidR="009747FB">
        <w:t xml:space="preserve">  The video crosstalk FC model </w:t>
      </w:r>
      <w:r w:rsidR="00520595">
        <w:t xml:space="preserve">(KAM §2.3.5.18) </w:t>
      </w:r>
      <w:r w:rsidR="00A07D97">
        <w:t xml:space="preserve">was derived from Commissioning data and </w:t>
      </w:r>
      <w:r w:rsidR="009747FB">
        <w:t>has been delive</w:t>
      </w:r>
      <w:r w:rsidR="00520595">
        <w:t>red to MAST</w:t>
      </w:r>
      <w:r w:rsidR="009747FB">
        <w:t>.</w:t>
      </w:r>
    </w:p>
    <w:p w:rsidR="00404448" w:rsidRDefault="000518AB" w:rsidP="00404448">
      <w:pPr>
        <w:keepNext/>
      </w:pPr>
      <w:r>
        <w:rPr>
          <w:noProof/>
        </w:rPr>
        <w:drawing>
          <wp:inline distT="0" distB="0" distL="0" distR="0">
            <wp:extent cx="5487289" cy="2303780"/>
            <wp:effectExtent l="6096" t="0" r="0" b="0"/>
            <wp:docPr id="42" name="O 1"/>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9144000" cy="3837709"/>
                      <a:chOff x="0" y="1510145"/>
                      <a:chExt cx="9144000" cy="3837709"/>
                    </a:xfrm>
                  </a:grpSpPr>
                  <a:grpSp>
                    <a:nvGrpSpPr>
                      <a:cNvPr id="28" name="Group 27"/>
                      <a:cNvGrpSpPr/>
                    </a:nvGrpSpPr>
                    <a:grpSpPr>
                      <a:xfrm>
                        <a:off x="0" y="1510145"/>
                        <a:ext cx="9144000" cy="3837709"/>
                        <a:chOff x="0" y="1510145"/>
                        <a:chExt cx="9144000" cy="3837709"/>
                      </a:xfrm>
                    </a:grpSpPr>
                    <a:pic>
                      <a:nvPicPr>
                        <a:cNvPr id="3" name="Picture 2" descr="crosstalk.tiff"/>
                        <a:cNvPicPr>
                          <a:picLocks noChangeAspect="1"/>
                        </a:cNvPicPr>
                      </a:nvPicPr>
                      <a:blipFill>
                        <a:blip r:embed="rId69"/>
                        <a:stretch>
                          <a:fillRect/>
                        </a:stretch>
                      </a:blipFill>
                      <a:spPr>
                        <a:xfrm>
                          <a:off x="0" y="1510145"/>
                          <a:ext cx="9144000" cy="3837709"/>
                        </a:xfrm>
                        <a:prstGeom prst="rect">
                          <a:avLst/>
                        </a:prstGeom>
                      </a:spPr>
                    </a:pic>
                    <a:grpSp>
                      <a:nvGrpSpPr>
                        <a:cNvPr id="4" name="Group 14"/>
                        <a:cNvGrpSpPr/>
                      </a:nvGrpSpPr>
                      <a:grpSpPr>
                        <a:xfrm>
                          <a:off x="1178396" y="3970345"/>
                          <a:ext cx="549154" cy="389025"/>
                          <a:chOff x="1521618" y="617863"/>
                          <a:chExt cx="549154" cy="389025"/>
                        </a:xfrm>
                      </a:grpSpPr>
                      <a:sp>
                        <a:nvSpPr>
                          <a:cNvPr id="2" name="TextBox 3"/>
                          <a:cNvSpPr txBox="1"/>
                        </a:nvSpPr>
                        <a:spPr>
                          <a:xfrm>
                            <a:off x="1742900" y="648576"/>
                            <a:ext cx="284515" cy="307777"/>
                          </a:xfrm>
                          <a:prstGeom prst="rect">
                            <a:avLst/>
                          </a:prstGeom>
                          <a:noFill/>
                          <a:ln w="3175">
                            <a:noFill/>
                          </a:ln>
                        </a:spPr>
                        <a:txSp>
                          <a:txBody>
                            <a:bodyPr wrap="none" rtlCol="0">
                              <a:spAutoFit/>
                            </a:bodyPr>
                            <a:lstStyle>
                              <a:defPPr>
                                <a:defRPr lang="en-US"/>
                              </a:defPPr>
                              <a:lvl1pPr algn="l" rtl="0" eaLnBrk="0" fontAlgn="base" hangingPunct="0">
                                <a:spcBef>
                                  <a:spcPct val="0"/>
                                </a:spcBef>
                                <a:spcAft>
                                  <a:spcPct val="0"/>
                                </a:spcAft>
                                <a:defRPr kern="1200">
                                  <a:solidFill>
                                    <a:schemeClr val="tx1"/>
                                  </a:solidFill>
                                  <a:latin typeface="Arial" charset="0"/>
                                  <a:ea typeface="+mn-ea"/>
                                  <a:cs typeface="+mn-cs"/>
                                </a:defRPr>
                              </a:lvl1pPr>
                              <a:lvl2pPr marL="457200" algn="l" rtl="0" eaLnBrk="0" fontAlgn="base" hangingPunct="0">
                                <a:spcBef>
                                  <a:spcPct val="0"/>
                                </a:spcBef>
                                <a:spcAft>
                                  <a:spcPct val="0"/>
                                </a:spcAft>
                                <a:defRPr kern="1200">
                                  <a:solidFill>
                                    <a:schemeClr val="tx1"/>
                                  </a:solidFill>
                                  <a:latin typeface="Arial" charset="0"/>
                                  <a:ea typeface="+mn-ea"/>
                                  <a:cs typeface="+mn-cs"/>
                                </a:defRPr>
                              </a:lvl2pPr>
                              <a:lvl3pPr marL="914400" algn="l" rtl="0" eaLnBrk="0" fontAlgn="base" hangingPunct="0">
                                <a:spcBef>
                                  <a:spcPct val="0"/>
                                </a:spcBef>
                                <a:spcAft>
                                  <a:spcPct val="0"/>
                                </a:spcAft>
                                <a:defRPr kern="1200">
                                  <a:solidFill>
                                    <a:schemeClr val="tx1"/>
                                  </a:solidFill>
                                  <a:latin typeface="Arial" charset="0"/>
                                  <a:ea typeface="+mn-ea"/>
                                  <a:cs typeface="+mn-cs"/>
                                </a:defRPr>
                              </a:lvl3pPr>
                              <a:lvl4pPr marL="1371600" algn="l" rtl="0" eaLnBrk="0" fontAlgn="base" hangingPunct="0">
                                <a:spcBef>
                                  <a:spcPct val="0"/>
                                </a:spcBef>
                                <a:spcAft>
                                  <a:spcPct val="0"/>
                                </a:spcAft>
                                <a:defRPr kern="1200">
                                  <a:solidFill>
                                    <a:schemeClr val="tx1"/>
                                  </a:solidFill>
                                  <a:latin typeface="Arial" charset="0"/>
                                  <a:ea typeface="+mn-ea"/>
                                  <a:cs typeface="+mn-cs"/>
                                </a:defRPr>
                              </a:lvl4pPr>
                              <a:lvl5pPr marL="1828800" algn="l" rtl="0" eaLnBrk="0" fontAlgn="base" hangingPunct="0">
                                <a:spcBef>
                                  <a:spcPct val="0"/>
                                </a:spcBef>
                                <a:spcAft>
                                  <a:spcPct val="0"/>
                                </a:spcAft>
                                <a:defRPr kern="1200">
                                  <a:solidFill>
                                    <a:schemeClr val="tx1"/>
                                  </a:solidFill>
                                  <a:latin typeface="Arial" charset="0"/>
                                  <a:ea typeface="+mn-ea"/>
                                  <a:cs typeface="+mn-cs"/>
                                </a:defRPr>
                              </a:lvl5pPr>
                              <a:lvl6pPr marL="2286000" algn="l" defTabSz="457200" rtl="0" eaLnBrk="1" latinLnBrk="0" hangingPunct="1">
                                <a:defRPr kern="1200">
                                  <a:solidFill>
                                    <a:schemeClr val="tx1"/>
                                  </a:solidFill>
                                  <a:latin typeface="Arial" charset="0"/>
                                  <a:ea typeface="+mn-ea"/>
                                  <a:cs typeface="+mn-cs"/>
                                </a:defRPr>
                              </a:lvl6pPr>
                              <a:lvl7pPr marL="2743200" algn="l" defTabSz="457200" rtl="0" eaLnBrk="1" latinLnBrk="0" hangingPunct="1">
                                <a:defRPr kern="1200">
                                  <a:solidFill>
                                    <a:schemeClr val="tx1"/>
                                  </a:solidFill>
                                  <a:latin typeface="Arial" charset="0"/>
                                  <a:ea typeface="+mn-ea"/>
                                  <a:cs typeface="+mn-cs"/>
                                </a:defRPr>
                              </a:lvl7pPr>
                              <a:lvl8pPr marL="3200400" algn="l" defTabSz="457200" rtl="0" eaLnBrk="1" latinLnBrk="0" hangingPunct="1">
                                <a:defRPr kern="1200">
                                  <a:solidFill>
                                    <a:schemeClr val="tx1"/>
                                  </a:solidFill>
                                  <a:latin typeface="Arial" charset="0"/>
                                  <a:ea typeface="+mn-ea"/>
                                  <a:cs typeface="+mn-cs"/>
                                </a:defRPr>
                              </a:lvl8pPr>
                              <a:lvl9pPr marL="3657600" algn="l" defTabSz="457200" rtl="0" eaLnBrk="1" latinLnBrk="0" hangingPunct="1">
                                <a:defRPr kern="1200">
                                  <a:solidFill>
                                    <a:schemeClr val="tx1"/>
                                  </a:solidFill>
                                  <a:latin typeface="Arial" charset="0"/>
                                  <a:ea typeface="+mn-ea"/>
                                  <a:cs typeface="+mn-cs"/>
                                </a:defRPr>
                              </a:lvl9pPr>
                            </a:lstStyle>
                            <a:p>
                              <a:r>
                                <a:rPr lang="en-US" sz="1400" dirty="0" smtClean="0">
                                  <a:solidFill>
                                    <a:srgbClr val="00FF00"/>
                                  </a:solidFill>
                                </a:rPr>
                                <a:t>1</a:t>
                              </a:r>
                              <a:endParaRPr lang="en-US" sz="1400" dirty="0">
                                <a:solidFill>
                                  <a:srgbClr val="00FF00"/>
                                </a:solidFill>
                              </a:endParaRPr>
                            </a:p>
                          </a:txBody>
                          <a:useSpRect/>
                        </a:txSp>
                      </a:sp>
                      <a:sp>
                        <a:nvSpPr>
                          <a:cNvPr id="8" name="Oval 4"/>
                          <a:cNvSpPr/>
                        </a:nvSpPr>
                        <a:spPr bwMode="auto">
                          <a:xfrm>
                            <a:off x="1693228" y="617863"/>
                            <a:ext cx="377544" cy="389025"/>
                          </a:xfrm>
                          <a:prstGeom prst="ellipse">
                            <a:avLst/>
                          </a:prstGeom>
                          <a:noFill/>
                          <a:ln w="9525" cap="flat" cmpd="sng" algn="ctr">
                            <a:solidFill>
                              <a:srgbClr val="00FF00"/>
                            </a:solidFill>
                            <a:prstDash val="solid"/>
                            <a:round/>
                            <a:headEnd type="none" w="med" len="med"/>
                            <a:tailEnd type="none" w="med" len="med"/>
                          </a:ln>
                          <a:effectLst/>
                        </a:spPr>
                        <a:txSp>
                          <a:txBody>
                            <a:bodyPr vert="horz" wrap="square" lIns="91440" tIns="45720" rIns="91440" bIns="45720" numCol="1" rtlCol="0" anchor="t" anchorCtr="0" compatLnSpc="1">
                              <a:prstTxWarp prst="textNoShape">
                                <a:avLst/>
                              </a:prstTxWarp>
                            </a:bodyPr>
                            <a:lstStyle>
                              <a:defPPr>
                                <a:defRPr lang="en-US"/>
                              </a:defPPr>
                              <a:lvl1pPr algn="l" rtl="0" eaLnBrk="0" fontAlgn="base" hangingPunct="0">
                                <a:spcBef>
                                  <a:spcPct val="0"/>
                                </a:spcBef>
                                <a:spcAft>
                                  <a:spcPct val="0"/>
                                </a:spcAft>
                                <a:defRPr kern="1200">
                                  <a:solidFill>
                                    <a:schemeClr val="tx1"/>
                                  </a:solidFill>
                                  <a:latin typeface="Arial" charset="0"/>
                                  <a:ea typeface="+mn-ea"/>
                                  <a:cs typeface="+mn-cs"/>
                                </a:defRPr>
                              </a:lvl1pPr>
                              <a:lvl2pPr marL="457200" algn="l" rtl="0" eaLnBrk="0" fontAlgn="base" hangingPunct="0">
                                <a:spcBef>
                                  <a:spcPct val="0"/>
                                </a:spcBef>
                                <a:spcAft>
                                  <a:spcPct val="0"/>
                                </a:spcAft>
                                <a:defRPr kern="1200">
                                  <a:solidFill>
                                    <a:schemeClr val="tx1"/>
                                  </a:solidFill>
                                  <a:latin typeface="Arial" charset="0"/>
                                  <a:ea typeface="+mn-ea"/>
                                  <a:cs typeface="+mn-cs"/>
                                </a:defRPr>
                              </a:lvl2pPr>
                              <a:lvl3pPr marL="914400" algn="l" rtl="0" eaLnBrk="0" fontAlgn="base" hangingPunct="0">
                                <a:spcBef>
                                  <a:spcPct val="0"/>
                                </a:spcBef>
                                <a:spcAft>
                                  <a:spcPct val="0"/>
                                </a:spcAft>
                                <a:defRPr kern="1200">
                                  <a:solidFill>
                                    <a:schemeClr val="tx1"/>
                                  </a:solidFill>
                                  <a:latin typeface="Arial" charset="0"/>
                                  <a:ea typeface="+mn-ea"/>
                                  <a:cs typeface="+mn-cs"/>
                                </a:defRPr>
                              </a:lvl3pPr>
                              <a:lvl4pPr marL="1371600" algn="l" rtl="0" eaLnBrk="0" fontAlgn="base" hangingPunct="0">
                                <a:spcBef>
                                  <a:spcPct val="0"/>
                                </a:spcBef>
                                <a:spcAft>
                                  <a:spcPct val="0"/>
                                </a:spcAft>
                                <a:defRPr kern="1200">
                                  <a:solidFill>
                                    <a:schemeClr val="tx1"/>
                                  </a:solidFill>
                                  <a:latin typeface="Arial" charset="0"/>
                                  <a:ea typeface="+mn-ea"/>
                                  <a:cs typeface="+mn-cs"/>
                                </a:defRPr>
                              </a:lvl4pPr>
                              <a:lvl5pPr marL="1828800" algn="l" rtl="0" eaLnBrk="0" fontAlgn="base" hangingPunct="0">
                                <a:spcBef>
                                  <a:spcPct val="0"/>
                                </a:spcBef>
                                <a:spcAft>
                                  <a:spcPct val="0"/>
                                </a:spcAft>
                                <a:defRPr kern="1200">
                                  <a:solidFill>
                                    <a:schemeClr val="tx1"/>
                                  </a:solidFill>
                                  <a:latin typeface="Arial" charset="0"/>
                                  <a:ea typeface="+mn-ea"/>
                                  <a:cs typeface="+mn-cs"/>
                                </a:defRPr>
                              </a:lvl5pPr>
                              <a:lvl6pPr marL="2286000" algn="l" defTabSz="457200" rtl="0" eaLnBrk="1" latinLnBrk="0" hangingPunct="1">
                                <a:defRPr kern="1200">
                                  <a:solidFill>
                                    <a:schemeClr val="tx1"/>
                                  </a:solidFill>
                                  <a:latin typeface="Arial" charset="0"/>
                                  <a:ea typeface="+mn-ea"/>
                                  <a:cs typeface="+mn-cs"/>
                                </a:defRPr>
                              </a:lvl6pPr>
                              <a:lvl7pPr marL="2743200" algn="l" defTabSz="457200" rtl="0" eaLnBrk="1" latinLnBrk="0" hangingPunct="1">
                                <a:defRPr kern="1200">
                                  <a:solidFill>
                                    <a:schemeClr val="tx1"/>
                                  </a:solidFill>
                                  <a:latin typeface="Arial" charset="0"/>
                                  <a:ea typeface="+mn-ea"/>
                                  <a:cs typeface="+mn-cs"/>
                                </a:defRPr>
                              </a:lvl7pPr>
                              <a:lvl8pPr marL="3200400" algn="l" defTabSz="457200" rtl="0" eaLnBrk="1" latinLnBrk="0" hangingPunct="1">
                                <a:defRPr kern="1200">
                                  <a:solidFill>
                                    <a:schemeClr val="tx1"/>
                                  </a:solidFill>
                                  <a:latin typeface="Arial" charset="0"/>
                                  <a:ea typeface="+mn-ea"/>
                                  <a:cs typeface="+mn-cs"/>
                                </a:defRPr>
                              </a:lvl8pPr>
                              <a:lvl9pPr marL="3657600" algn="l" defTabSz="457200" rtl="0" eaLnBrk="1" latinLnBrk="0" hangingPunct="1">
                                <a:defRPr kern="1200">
                                  <a:solidFill>
                                    <a:schemeClr val="tx1"/>
                                  </a:solidFill>
                                  <a:latin typeface="Arial" charset="0"/>
                                  <a:ea typeface="+mn-ea"/>
                                  <a:cs typeface="+mn-cs"/>
                                </a:defRPr>
                              </a:lvl9pPr>
                            </a:lstStyle>
                            <a:p>
                              <a:pPr marL="0" marR="0" indent="0" algn="l" defTabSz="914400" rtl="0" eaLnBrk="0" fontAlgn="base" latinLnBrk="0" hangingPunct="0">
                                <a:lnSpc>
                                  <a:spcPct val="100000"/>
                                </a:lnSpc>
                                <a:spcBef>
                                  <a:spcPct val="0"/>
                                </a:spcBef>
                                <a:spcAft>
                                  <a:spcPct val="0"/>
                                </a:spcAft>
                                <a:buClrTx/>
                                <a:buSzTx/>
                                <a:buFontTx/>
                                <a:buNone/>
                                <a:tabLst/>
                              </a:pPr>
                              <a:endParaRPr kumimoji="0" lang="en-US" sz="1800" b="0" i="0" u="none" strike="noStrike" cap="none" normalizeH="0" baseline="0">
                                <a:ln>
                                  <a:noFill/>
                                </a:ln>
                                <a:solidFill>
                                  <a:srgbClr val="00FF00"/>
                                </a:solidFill>
                                <a:effectLst/>
                                <a:latin typeface="Arial" charset="0"/>
                              </a:endParaRPr>
                            </a:p>
                          </a:txBody>
                          <a:useSpRect/>
                        </a:txSp>
                      </a:sp>
                      <a:cxnSp>
                        <a:nvCxnSpPr>
                          <a:cNvPr id="14" name="Straight Arrow Connector 13"/>
                          <a:cNvCxnSpPr>
                            <a:stCxn id="5" idx="2"/>
                          </a:cNvCxnSpPr>
                        </a:nvCxnSpPr>
                        <a:spPr bwMode="auto">
                          <a:xfrm rot="10800000">
                            <a:off x="1521618" y="812376"/>
                            <a:ext cx="171611" cy="1588"/>
                          </a:xfrm>
                          <a:prstGeom prst="straightConnector1">
                            <a:avLst/>
                          </a:prstGeom>
                          <a:solidFill>
                            <a:schemeClr val="accent1"/>
                          </a:solidFill>
                          <a:ln w="9525" cap="flat" cmpd="sng" algn="ctr">
                            <a:solidFill>
                              <a:srgbClr val="00FF00"/>
                            </a:solidFill>
                            <a:prstDash val="solid"/>
                            <a:round/>
                            <a:headEnd type="none" w="med" len="med"/>
                            <a:tailEnd type="triangle"/>
                          </a:ln>
                          <a:effectLst/>
                        </a:spPr>
                      </a:cxnSp>
                    </a:grpSp>
                    <a:grpSp>
                      <a:nvGrpSpPr>
                        <a:cNvPr id="5" name="Group 15"/>
                        <a:cNvGrpSpPr/>
                      </a:nvGrpSpPr>
                      <a:grpSpPr>
                        <a:xfrm>
                          <a:off x="3458771" y="3962558"/>
                          <a:ext cx="549154" cy="389025"/>
                          <a:chOff x="1521618" y="617863"/>
                          <a:chExt cx="549154" cy="389025"/>
                        </a:xfrm>
                      </a:grpSpPr>
                      <a:sp>
                        <a:nvSpPr>
                          <a:cNvPr id="17" name="TextBox 16"/>
                          <a:cNvSpPr txBox="1"/>
                        </a:nvSpPr>
                        <a:spPr>
                          <a:xfrm>
                            <a:off x="1742900" y="648576"/>
                            <a:ext cx="284515" cy="307777"/>
                          </a:xfrm>
                          <a:prstGeom prst="rect">
                            <a:avLst/>
                          </a:prstGeom>
                          <a:noFill/>
                          <a:ln w="3175">
                            <a:noFill/>
                          </a:ln>
                        </a:spPr>
                        <a:txSp>
                          <a:txBody>
                            <a:bodyPr wrap="none" rtlCol="0">
                              <a:spAutoFit/>
                            </a:bodyPr>
                            <a:lstStyle>
                              <a:defPPr>
                                <a:defRPr lang="en-US"/>
                              </a:defPPr>
                              <a:lvl1pPr algn="l" rtl="0" eaLnBrk="0" fontAlgn="base" hangingPunct="0">
                                <a:spcBef>
                                  <a:spcPct val="0"/>
                                </a:spcBef>
                                <a:spcAft>
                                  <a:spcPct val="0"/>
                                </a:spcAft>
                                <a:defRPr kern="1200">
                                  <a:solidFill>
                                    <a:schemeClr val="tx1"/>
                                  </a:solidFill>
                                  <a:latin typeface="Arial" charset="0"/>
                                  <a:ea typeface="+mn-ea"/>
                                  <a:cs typeface="+mn-cs"/>
                                </a:defRPr>
                              </a:lvl1pPr>
                              <a:lvl2pPr marL="457200" algn="l" rtl="0" eaLnBrk="0" fontAlgn="base" hangingPunct="0">
                                <a:spcBef>
                                  <a:spcPct val="0"/>
                                </a:spcBef>
                                <a:spcAft>
                                  <a:spcPct val="0"/>
                                </a:spcAft>
                                <a:defRPr kern="1200">
                                  <a:solidFill>
                                    <a:schemeClr val="tx1"/>
                                  </a:solidFill>
                                  <a:latin typeface="Arial" charset="0"/>
                                  <a:ea typeface="+mn-ea"/>
                                  <a:cs typeface="+mn-cs"/>
                                </a:defRPr>
                              </a:lvl2pPr>
                              <a:lvl3pPr marL="914400" algn="l" rtl="0" eaLnBrk="0" fontAlgn="base" hangingPunct="0">
                                <a:spcBef>
                                  <a:spcPct val="0"/>
                                </a:spcBef>
                                <a:spcAft>
                                  <a:spcPct val="0"/>
                                </a:spcAft>
                                <a:defRPr kern="1200">
                                  <a:solidFill>
                                    <a:schemeClr val="tx1"/>
                                  </a:solidFill>
                                  <a:latin typeface="Arial" charset="0"/>
                                  <a:ea typeface="+mn-ea"/>
                                  <a:cs typeface="+mn-cs"/>
                                </a:defRPr>
                              </a:lvl3pPr>
                              <a:lvl4pPr marL="1371600" algn="l" rtl="0" eaLnBrk="0" fontAlgn="base" hangingPunct="0">
                                <a:spcBef>
                                  <a:spcPct val="0"/>
                                </a:spcBef>
                                <a:spcAft>
                                  <a:spcPct val="0"/>
                                </a:spcAft>
                                <a:defRPr kern="1200">
                                  <a:solidFill>
                                    <a:schemeClr val="tx1"/>
                                  </a:solidFill>
                                  <a:latin typeface="Arial" charset="0"/>
                                  <a:ea typeface="+mn-ea"/>
                                  <a:cs typeface="+mn-cs"/>
                                </a:defRPr>
                              </a:lvl4pPr>
                              <a:lvl5pPr marL="1828800" algn="l" rtl="0" eaLnBrk="0" fontAlgn="base" hangingPunct="0">
                                <a:spcBef>
                                  <a:spcPct val="0"/>
                                </a:spcBef>
                                <a:spcAft>
                                  <a:spcPct val="0"/>
                                </a:spcAft>
                                <a:defRPr kern="1200">
                                  <a:solidFill>
                                    <a:schemeClr val="tx1"/>
                                  </a:solidFill>
                                  <a:latin typeface="Arial" charset="0"/>
                                  <a:ea typeface="+mn-ea"/>
                                  <a:cs typeface="+mn-cs"/>
                                </a:defRPr>
                              </a:lvl5pPr>
                              <a:lvl6pPr marL="2286000" algn="l" defTabSz="457200" rtl="0" eaLnBrk="1" latinLnBrk="0" hangingPunct="1">
                                <a:defRPr kern="1200">
                                  <a:solidFill>
                                    <a:schemeClr val="tx1"/>
                                  </a:solidFill>
                                  <a:latin typeface="Arial" charset="0"/>
                                  <a:ea typeface="+mn-ea"/>
                                  <a:cs typeface="+mn-cs"/>
                                </a:defRPr>
                              </a:lvl6pPr>
                              <a:lvl7pPr marL="2743200" algn="l" defTabSz="457200" rtl="0" eaLnBrk="1" latinLnBrk="0" hangingPunct="1">
                                <a:defRPr kern="1200">
                                  <a:solidFill>
                                    <a:schemeClr val="tx1"/>
                                  </a:solidFill>
                                  <a:latin typeface="Arial" charset="0"/>
                                  <a:ea typeface="+mn-ea"/>
                                  <a:cs typeface="+mn-cs"/>
                                </a:defRPr>
                              </a:lvl7pPr>
                              <a:lvl8pPr marL="3200400" algn="l" defTabSz="457200" rtl="0" eaLnBrk="1" latinLnBrk="0" hangingPunct="1">
                                <a:defRPr kern="1200">
                                  <a:solidFill>
                                    <a:schemeClr val="tx1"/>
                                  </a:solidFill>
                                  <a:latin typeface="Arial" charset="0"/>
                                  <a:ea typeface="+mn-ea"/>
                                  <a:cs typeface="+mn-cs"/>
                                </a:defRPr>
                              </a:lvl8pPr>
                              <a:lvl9pPr marL="3657600" algn="l" defTabSz="457200" rtl="0" eaLnBrk="1" latinLnBrk="0" hangingPunct="1">
                                <a:defRPr kern="1200">
                                  <a:solidFill>
                                    <a:schemeClr val="tx1"/>
                                  </a:solidFill>
                                  <a:latin typeface="Arial" charset="0"/>
                                  <a:ea typeface="+mn-ea"/>
                                  <a:cs typeface="+mn-cs"/>
                                </a:defRPr>
                              </a:lvl9pPr>
                            </a:lstStyle>
                            <a:p>
                              <a:r>
                                <a:rPr lang="en-US" sz="1400" dirty="0">
                                  <a:solidFill>
                                    <a:srgbClr val="00FF00"/>
                                  </a:solidFill>
                                </a:rPr>
                                <a:t>2</a:t>
                              </a:r>
                              <a:endParaRPr lang="en-US" sz="1400" dirty="0">
                                <a:solidFill>
                                  <a:srgbClr val="00FF00"/>
                                </a:solidFill>
                              </a:endParaRPr>
                            </a:p>
                          </a:txBody>
                          <a:useSpRect/>
                        </a:txSp>
                      </a:sp>
                      <a:sp>
                        <a:nvSpPr>
                          <a:cNvPr id="18" name="Oval 17"/>
                          <a:cNvSpPr/>
                        </a:nvSpPr>
                        <a:spPr bwMode="auto">
                          <a:xfrm>
                            <a:off x="1693228" y="617863"/>
                            <a:ext cx="377544" cy="389025"/>
                          </a:xfrm>
                          <a:prstGeom prst="ellipse">
                            <a:avLst/>
                          </a:prstGeom>
                          <a:noFill/>
                          <a:ln w="9525" cap="flat" cmpd="sng" algn="ctr">
                            <a:solidFill>
                              <a:srgbClr val="00FF00"/>
                            </a:solidFill>
                            <a:prstDash val="solid"/>
                            <a:round/>
                            <a:headEnd type="none" w="med" len="med"/>
                            <a:tailEnd type="none" w="med" len="med"/>
                          </a:ln>
                          <a:effectLst/>
                        </a:spPr>
                        <a:txSp>
                          <a:txBody>
                            <a:bodyPr vert="horz" wrap="square" lIns="91440" tIns="45720" rIns="91440" bIns="45720" numCol="1" rtlCol="0" anchor="t" anchorCtr="0" compatLnSpc="1">
                              <a:prstTxWarp prst="textNoShape">
                                <a:avLst/>
                              </a:prstTxWarp>
                            </a:bodyPr>
                            <a:lstStyle>
                              <a:defPPr>
                                <a:defRPr lang="en-US"/>
                              </a:defPPr>
                              <a:lvl1pPr algn="l" rtl="0" eaLnBrk="0" fontAlgn="base" hangingPunct="0">
                                <a:spcBef>
                                  <a:spcPct val="0"/>
                                </a:spcBef>
                                <a:spcAft>
                                  <a:spcPct val="0"/>
                                </a:spcAft>
                                <a:defRPr kern="1200">
                                  <a:solidFill>
                                    <a:schemeClr val="tx1"/>
                                  </a:solidFill>
                                  <a:latin typeface="Arial" charset="0"/>
                                  <a:ea typeface="+mn-ea"/>
                                  <a:cs typeface="+mn-cs"/>
                                </a:defRPr>
                              </a:lvl1pPr>
                              <a:lvl2pPr marL="457200" algn="l" rtl="0" eaLnBrk="0" fontAlgn="base" hangingPunct="0">
                                <a:spcBef>
                                  <a:spcPct val="0"/>
                                </a:spcBef>
                                <a:spcAft>
                                  <a:spcPct val="0"/>
                                </a:spcAft>
                                <a:defRPr kern="1200">
                                  <a:solidFill>
                                    <a:schemeClr val="tx1"/>
                                  </a:solidFill>
                                  <a:latin typeface="Arial" charset="0"/>
                                  <a:ea typeface="+mn-ea"/>
                                  <a:cs typeface="+mn-cs"/>
                                </a:defRPr>
                              </a:lvl2pPr>
                              <a:lvl3pPr marL="914400" algn="l" rtl="0" eaLnBrk="0" fontAlgn="base" hangingPunct="0">
                                <a:spcBef>
                                  <a:spcPct val="0"/>
                                </a:spcBef>
                                <a:spcAft>
                                  <a:spcPct val="0"/>
                                </a:spcAft>
                                <a:defRPr kern="1200">
                                  <a:solidFill>
                                    <a:schemeClr val="tx1"/>
                                  </a:solidFill>
                                  <a:latin typeface="Arial" charset="0"/>
                                  <a:ea typeface="+mn-ea"/>
                                  <a:cs typeface="+mn-cs"/>
                                </a:defRPr>
                              </a:lvl3pPr>
                              <a:lvl4pPr marL="1371600" algn="l" rtl="0" eaLnBrk="0" fontAlgn="base" hangingPunct="0">
                                <a:spcBef>
                                  <a:spcPct val="0"/>
                                </a:spcBef>
                                <a:spcAft>
                                  <a:spcPct val="0"/>
                                </a:spcAft>
                                <a:defRPr kern="1200">
                                  <a:solidFill>
                                    <a:schemeClr val="tx1"/>
                                  </a:solidFill>
                                  <a:latin typeface="Arial" charset="0"/>
                                  <a:ea typeface="+mn-ea"/>
                                  <a:cs typeface="+mn-cs"/>
                                </a:defRPr>
                              </a:lvl4pPr>
                              <a:lvl5pPr marL="1828800" algn="l" rtl="0" eaLnBrk="0" fontAlgn="base" hangingPunct="0">
                                <a:spcBef>
                                  <a:spcPct val="0"/>
                                </a:spcBef>
                                <a:spcAft>
                                  <a:spcPct val="0"/>
                                </a:spcAft>
                                <a:defRPr kern="1200">
                                  <a:solidFill>
                                    <a:schemeClr val="tx1"/>
                                  </a:solidFill>
                                  <a:latin typeface="Arial" charset="0"/>
                                  <a:ea typeface="+mn-ea"/>
                                  <a:cs typeface="+mn-cs"/>
                                </a:defRPr>
                              </a:lvl5pPr>
                              <a:lvl6pPr marL="2286000" algn="l" defTabSz="457200" rtl="0" eaLnBrk="1" latinLnBrk="0" hangingPunct="1">
                                <a:defRPr kern="1200">
                                  <a:solidFill>
                                    <a:schemeClr val="tx1"/>
                                  </a:solidFill>
                                  <a:latin typeface="Arial" charset="0"/>
                                  <a:ea typeface="+mn-ea"/>
                                  <a:cs typeface="+mn-cs"/>
                                </a:defRPr>
                              </a:lvl6pPr>
                              <a:lvl7pPr marL="2743200" algn="l" defTabSz="457200" rtl="0" eaLnBrk="1" latinLnBrk="0" hangingPunct="1">
                                <a:defRPr kern="1200">
                                  <a:solidFill>
                                    <a:schemeClr val="tx1"/>
                                  </a:solidFill>
                                  <a:latin typeface="Arial" charset="0"/>
                                  <a:ea typeface="+mn-ea"/>
                                  <a:cs typeface="+mn-cs"/>
                                </a:defRPr>
                              </a:lvl7pPr>
                              <a:lvl8pPr marL="3200400" algn="l" defTabSz="457200" rtl="0" eaLnBrk="1" latinLnBrk="0" hangingPunct="1">
                                <a:defRPr kern="1200">
                                  <a:solidFill>
                                    <a:schemeClr val="tx1"/>
                                  </a:solidFill>
                                  <a:latin typeface="Arial" charset="0"/>
                                  <a:ea typeface="+mn-ea"/>
                                  <a:cs typeface="+mn-cs"/>
                                </a:defRPr>
                              </a:lvl8pPr>
                              <a:lvl9pPr marL="3657600" algn="l" defTabSz="457200" rtl="0" eaLnBrk="1" latinLnBrk="0" hangingPunct="1">
                                <a:defRPr kern="1200">
                                  <a:solidFill>
                                    <a:schemeClr val="tx1"/>
                                  </a:solidFill>
                                  <a:latin typeface="Arial" charset="0"/>
                                  <a:ea typeface="+mn-ea"/>
                                  <a:cs typeface="+mn-cs"/>
                                </a:defRPr>
                              </a:lvl9pPr>
                            </a:lstStyle>
                            <a:p>
                              <a:pPr marL="0" marR="0" indent="0" algn="l" defTabSz="914400" rtl="0" eaLnBrk="0" fontAlgn="base" latinLnBrk="0" hangingPunct="0">
                                <a:lnSpc>
                                  <a:spcPct val="100000"/>
                                </a:lnSpc>
                                <a:spcBef>
                                  <a:spcPct val="0"/>
                                </a:spcBef>
                                <a:spcAft>
                                  <a:spcPct val="0"/>
                                </a:spcAft>
                                <a:buClrTx/>
                                <a:buSzTx/>
                                <a:buFontTx/>
                                <a:buNone/>
                                <a:tabLst/>
                              </a:pPr>
                              <a:endParaRPr kumimoji="0" lang="en-US" sz="1800" b="0" i="0" u="none" strike="noStrike" cap="none" normalizeH="0" baseline="0">
                                <a:ln>
                                  <a:noFill/>
                                </a:ln>
                                <a:solidFill>
                                  <a:srgbClr val="00FF00"/>
                                </a:solidFill>
                                <a:effectLst/>
                                <a:latin typeface="Arial" charset="0"/>
                              </a:endParaRPr>
                            </a:p>
                          </a:txBody>
                          <a:useSpRect/>
                        </a:txSp>
                      </a:sp>
                      <a:cxnSp>
                        <a:nvCxnSpPr>
                          <a:cNvPr id="19" name="Straight Arrow Connector 18"/>
                          <a:cNvCxnSpPr>
                            <a:stCxn id="18" idx="2"/>
                          </a:cNvCxnSpPr>
                        </a:nvCxnSpPr>
                        <a:spPr bwMode="auto">
                          <a:xfrm rot="10800000">
                            <a:off x="1521618" y="812376"/>
                            <a:ext cx="171611" cy="1588"/>
                          </a:xfrm>
                          <a:prstGeom prst="straightConnector1">
                            <a:avLst/>
                          </a:prstGeom>
                          <a:solidFill>
                            <a:schemeClr val="accent1"/>
                          </a:solidFill>
                          <a:ln w="9525" cap="flat" cmpd="sng" algn="ctr">
                            <a:solidFill>
                              <a:srgbClr val="00FF00"/>
                            </a:solidFill>
                            <a:prstDash val="solid"/>
                            <a:round/>
                            <a:headEnd type="none" w="med" len="med"/>
                            <a:tailEnd type="triangle"/>
                          </a:ln>
                          <a:effectLst/>
                        </a:spPr>
                      </a:cxnSp>
                    </a:grpSp>
                    <a:grpSp>
                      <a:nvGrpSpPr>
                        <a:cNvPr id="6" name="Group 19"/>
                        <a:cNvGrpSpPr/>
                      </a:nvGrpSpPr>
                      <a:grpSpPr>
                        <a:xfrm>
                          <a:off x="5746916" y="3974000"/>
                          <a:ext cx="549154" cy="389025"/>
                          <a:chOff x="1521618" y="617863"/>
                          <a:chExt cx="549154" cy="389025"/>
                        </a:xfrm>
                      </a:grpSpPr>
                      <a:sp>
                        <a:nvSpPr>
                          <a:cNvPr id="21" name="TextBox 20"/>
                          <a:cNvSpPr txBox="1"/>
                        </a:nvSpPr>
                        <a:spPr>
                          <a:xfrm>
                            <a:off x="1742900" y="648576"/>
                            <a:ext cx="284515" cy="307777"/>
                          </a:xfrm>
                          <a:prstGeom prst="rect">
                            <a:avLst/>
                          </a:prstGeom>
                          <a:noFill/>
                          <a:ln w="3175">
                            <a:noFill/>
                          </a:ln>
                        </a:spPr>
                        <a:txSp>
                          <a:txBody>
                            <a:bodyPr wrap="none" rtlCol="0">
                              <a:spAutoFit/>
                            </a:bodyPr>
                            <a:lstStyle>
                              <a:defPPr>
                                <a:defRPr lang="en-US"/>
                              </a:defPPr>
                              <a:lvl1pPr algn="l" rtl="0" eaLnBrk="0" fontAlgn="base" hangingPunct="0">
                                <a:spcBef>
                                  <a:spcPct val="0"/>
                                </a:spcBef>
                                <a:spcAft>
                                  <a:spcPct val="0"/>
                                </a:spcAft>
                                <a:defRPr kern="1200">
                                  <a:solidFill>
                                    <a:schemeClr val="tx1"/>
                                  </a:solidFill>
                                  <a:latin typeface="Arial" charset="0"/>
                                  <a:ea typeface="+mn-ea"/>
                                  <a:cs typeface="+mn-cs"/>
                                </a:defRPr>
                              </a:lvl1pPr>
                              <a:lvl2pPr marL="457200" algn="l" rtl="0" eaLnBrk="0" fontAlgn="base" hangingPunct="0">
                                <a:spcBef>
                                  <a:spcPct val="0"/>
                                </a:spcBef>
                                <a:spcAft>
                                  <a:spcPct val="0"/>
                                </a:spcAft>
                                <a:defRPr kern="1200">
                                  <a:solidFill>
                                    <a:schemeClr val="tx1"/>
                                  </a:solidFill>
                                  <a:latin typeface="Arial" charset="0"/>
                                  <a:ea typeface="+mn-ea"/>
                                  <a:cs typeface="+mn-cs"/>
                                </a:defRPr>
                              </a:lvl2pPr>
                              <a:lvl3pPr marL="914400" algn="l" rtl="0" eaLnBrk="0" fontAlgn="base" hangingPunct="0">
                                <a:spcBef>
                                  <a:spcPct val="0"/>
                                </a:spcBef>
                                <a:spcAft>
                                  <a:spcPct val="0"/>
                                </a:spcAft>
                                <a:defRPr kern="1200">
                                  <a:solidFill>
                                    <a:schemeClr val="tx1"/>
                                  </a:solidFill>
                                  <a:latin typeface="Arial" charset="0"/>
                                  <a:ea typeface="+mn-ea"/>
                                  <a:cs typeface="+mn-cs"/>
                                </a:defRPr>
                              </a:lvl3pPr>
                              <a:lvl4pPr marL="1371600" algn="l" rtl="0" eaLnBrk="0" fontAlgn="base" hangingPunct="0">
                                <a:spcBef>
                                  <a:spcPct val="0"/>
                                </a:spcBef>
                                <a:spcAft>
                                  <a:spcPct val="0"/>
                                </a:spcAft>
                                <a:defRPr kern="1200">
                                  <a:solidFill>
                                    <a:schemeClr val="tx1"/>
                                  </a:solidFill>
                                  <a:latin typeface="Arial" charset="0"/>
                                  <a:ea typeface="+mn-ea"/>
                                  <a:cs typeface="+mn-cs"/>
                                </a:defRPr>
                              </a:lvl4pPr>
                              <a:lvl5pPr marL="1828800" algn="l" rtl="0" eaLnBrk="0" fontAlgn="base" hangingPunct="0">
                                <a:spcBef>
                                  <a:spcPct val="0"/>
                                </a:spcBef>
                                <a:spcAft>
                                  <a:spcPct val="0"/>
                                </a:spcAft>
                                <a:defRPr kern="1200">
                                  <a:solidFill>
                                    <a:schemeClr val="tx1"/>
                                  </a:solidFill>
                                  <a:latin typeface="Arial" charset="0"/>
                                  <a:ea typeface="+mn-ea"/>
                                  <a:cs typeface="+mn-cs"/>
                                </a:defRPr>
                              </a:lvl5pPr>
                              <a:lvl6pPr marL="2286000" algn="l" defTabSz="457200" rtl="0" eaLnBrk="1" latinLnBrk="0" hangingPunct="1">
                                <a:defRPr kern="1200">
                                  <a:solidFill>
                                    <a:schemeClr val="tx1"/>
                                  </a:solidFill>
                                  <a:latin typeface="Arial" charset="0"/>
                                  <a:ea typeface="+mn-ea"/>
                                  <a:cs typeface="+mn-cs"/>
                                </a:defRPr>
                              </a:lvl6pPr>
                              <a:lvl7pPr marL="2743200" algn="l" defTabSz="457200" rtl="0" eaLnBrk="1" latinLnBrk="0" hangingPunct="1">
                                <a:defRPr kern="1200">
                                  <a:solidFill>
                                    <a:schemeClr val="tx1"/>
                                  </a:solidFill>
                                  <a:latin typeface="Arial" charset="0"/>
                                  <a:ea typeface="+mn-ea"/>
                                  <a:cs typeface="+mn-cs"/>
                                </a:defRPr>
                              </a:lvl7pPr>
                              <a:lvl8pPr marL="3200400" algn="l" defTabSz="457200" rtl="0" eaLnBrk="1" latinLnBrk="0" hangingPunct="1">
                                <a:defRPr kern="1200">
                                  <a:solidFill>
                                    <a:schemeClr val="tx1"/>
                                  </a:solidFill>
                                  <a:latin typeface="Arial" charset="0"/>
                                  <a:ea typeface="+mn-ea"/>
                                  <a:cs typeface="+mn-cs"/>
                                </a:defRPr>
                              </a:lvl8pPr>
                              <a:lvl9pPr marL="3657600" algn="l" defTabSz="457200" rtl="0" eaLnBrk="1" latinLnBrk="0" hangingPunct="1">
                                <a:defRPr kern="1200">
                                  <a:solidFill>
                                    <a:schemeClr val="tx1"/>
                                  </a:solidFill>
                                  <a:latin typeface="Arial" charset="0"/>
                                  <a:ea typeface="+mn-ea"/>
                                  <a:cs typeface="+mn-cs"/>
                                </a:defRPr>
                              </a:lvl9pPr>
                            </a:lstStyle>
                            <a:p>
                              <a:r>
                                <a:rPr lang="en-US" sz="1400" dirty="0">
                                  <a:solidFill>
                                    <a:srgbClr val="00FF00"/>
                                  </a:solidFill>
                                </a:rPr>
                                <a:t>3</a:t>
                              </a:r>
                              <a:endParaRPr lang="en-US" sz="1400" dirty="0">
                                <a:solidFill>
                                  <a:srgbClr val="00FF00"/>
                                </a:solidFill>
                              </a:endParaRPr>
                            </a:p>
                          </a:txBody>
                          <a:useSpRect/>
                        </a:txSp>
                      </a:sp>
                      <a:sp>
                        <a:nvSpPr>
                          <a:cNvPr id="22" name="Oval 21"/>
                          <a:cNvSpPr/>
                        </a:nvSpPr>
                        <a:spPr bwMode="auto">
                          <a:xfrm>
                            <a:off x="1693228" y="617863"/>
                            <a:ext cx="377544" cy="389025"/>
                          </a:xfrm>
                          <a:prstGeom prst="ellipse">
                            <a:avLst/>
                          </a:prstGeom>
                          <a:noFill/>
                          <a:ln w="9525" cap="flat" cmpd="sng" algn="ctr">
                            <a:solidFill>
                              <a:srgbClr val="00FF00"/>
                            </a:solidFill>
                            <a:prstDash val="solid"/>
                            <a:round/>
                            <a:headEnd type="none" w="med" len="med"/>
                            <a:tailEnd type="none" w="med" len="med"/>
                          </a:ln>
                          <a:effectLst/>
                        </a:spPr>
                        <a:txSp>
                          <a:txBody>
                            <a:bodyPr vert="horz" wrap="square" lIns="91440" tIns="45720" rIns="91440" bIns="45720" numCol="1" rtlCol="0" anchor="t" anchorCtr="0" compatLnSpc="1">
                              <a:prstTxWarp prst="textNoShape">
                                <a:avLst/>
                              </a:prstTxWarp>
                            </a:bodyPr>
                            <a:lstStyle>
                              <a:defPPr>
                                <a:defRPr lang="en-US"/>
                              </a:defPPr>
                              <a:lvl1pPr algn="l" rtl="0" eaLnBrk="0" fontAlgn="base" hangingPunct="0">
                                <a:spcBef>
                                  <a:spcPct val="0"/>
                                </a:spcBef>
                                <a:spcAft>
                                  <a:spcPct val="0"/>
                                </a:spcAft>
                                <a:defRPr kern="1200">
                                  <a:solidFill>
                                    <a:schemeClr val="tx1"/>
                                  </a:solidFill>
                                  <a:latin typeface="Arial" charset="0"/>
                                  <a:ea typeface="+mn-ea"/>
                                  <a:cs typeface="+mn-cs"/>
                                </a:defRPr>
                              </a:lvl1pPr>
                              <a:lvl2pPr marL="457200" algn="l" rtl="0" eaLnBrk="0" fontAlgn="base" hangingPunct="0">
                                <a:spcBef>
                                  <a:spcPct val="0"/>
                                </a:spcBef>
                                <a:spcAft>
                                  <a:spcPct val="0"/>
                                </a:spcAft>
                                <a:defRPr kern="1200">
                                  <a:solidFill>
                                    <a:schemeClr val="tx1"/>
                                  </a:solidFill>
                                  <a:latin typeface="Arial" charset="0"/>
                                  <a:ea typeface="+mn-ea"/>
                                  <a:cs typeface="+mn-cs"/>
                                </a:defRPr>
                              </a:lvl2pPr>
                              <a:lvl3pPr marL="914400" algn="l" rtl="0" eaLnBrk="0" fontAlgn="base" hangingPunct="0">
                                <a:spcBef>
                                  <a:spcPct val="0"/>
                                </a:spcBef>
                                <a:spcAft>
                                  <a:spcPct val="0"/>
                                </a:spcAft>
                                <a:defRPr kern="1200">
                                  <a:solidFill>
                                    <a:schemeClr val="tx1"/>
                                  </a:solidFill>
                                  <a:latin typeface="Arial" charset="0"/>
                                  <a:ea typeface="+mn-ea"/>
                                  <a:cs typeface="+mn-cs"/>
                                </a:defRPr>
                              </a:lvl3pPr>
                              <a:lvl4pPr marL="1371600" algn="l" rtl="0" eaLnBrk="0" fontAlgn="base" hangingPunct="0">
                                <a:spcBef>
                                  <a:spcPct val="0"/>
                                </a:spcBef>
                                <a:spcAft>
                                  <a:spcPct val="0"/>
                                </a:spcAft>
                                <a:defRPr kern="1200">
                                  <a:solidFill>
                                    <a:schemeClr val="tx1"/>
                                  </a:solidFill>
                                  <a:latin typeface="Arial" charset="0"/>
                                  <a:ea typeface="+mn-ea"/>
                                  <a:cs typeface="+mn-cs"/>
                                </a:defRPr>
                              </a:lvl4pPr>
                              <a:lvl5pPr marL="1828800" algn="l" rtl="0" eaLnBrk="0" fontAlgn="base" hangingPunct="0">
                                <a:spcBef>
                                  <a:spcPct val="0"/>
                                </a:spcBef>
                                <a:spcAft>
                                  <a:spcPct val="0"/>
                                </a:spcAft>
                                <a:defRPr kern="1200">
                                  <a:solidFill>
                                    <a:schemeClr val="tx1"/>
                                  </a:solidFill>
                                  <a:latin typeface="Arial" charset="0"/>
                                  <a:ea typeface="+mn-ea"/>
                                  <a:cs typeface="+mn-cs"/>
                                </a:defRPr>
                              </a:lvl5pPr>
                              <a:lvl6pPr marL="2286000" algn="l" defTabSz="457200" rtl="0" eaLnBrk="1" latinLnBrk="0" hangingPunct="1">
                                <a:defRPr kern="1200">
                                  <a:solidFill>
                                    <a:schemeClr val="tx1"/>
                                  </a:solidFill>
                                  <a:latin typeface="Arial" charset="0"/>
                                  <a:ea typeface="+mn-ea"/>
                                  <a:cs typeface="+mn-cs"/>
                                </a:defRPr>
                              </a:lvl6pPr>
                              <a:lvl7pPr marL="2743200" algn="l" defTabSz="457200" rtl="0" eaLnBrk="1" latinLnBrk="0" hangingPunct="1">
                                <a:defRPr kern="1200">
                                  <a:solidFill>
                                    <a:schemeClr val="tx1"/>
                                  </a:solidFill>
                                  <a:latin typeface="Arial" charset="0"/>
                                  <a:ea typeface="+mn-ea"/>
                                  <a:cs typeface="+mn-cs"/>
                                </a:defRPr>
                              </a:lvl7pPr>
                              <a:lvl8pPr marL="3200400" algn="l" defTabSz="457200" rtl="0" eaLnBrk="1" latinLnBrk="0" hangingPunct="1">
                                <a:defRPr kern="1200">
                                  <a:solidFill>
                                    <a:schemeClr val="tx1"/>
                                  </a:solidFill>
                                  <a:latin typeface="Arial" charset="0"/>
                                  <a:ea typeface="+mn-ea"/>
                                  <a:cs typeface="+mn-cs"/>
                                </a:defRPr>
                              </a:lvl8pPr>
                              <a:lvl9pPr marL="3657600" algn="l" defTabSz="457200" rtl="0" eaLnBrk="1" latinLnBrk="0" hangingPunct="1">
                                <a:defRPr kern="1200">
                                  <a:solidFill>
                                    <a:schemeClr val="tx1"/>
                                  </a:solidFill>
                                  <a:latin typeface="Arial" charset="0"/>
                                  <a:ea typeface="+mn-ea"/>
                                  <a:cs typeface="+mn-cs"/>
                                </a:defRPr>
                              </a:lvl9pPr>
                            </a:lstStyle>
                            <a:p>
                              <a:pPr marL="0" marR="0" indent="0" algn="l" defTabSz="914400" rtl="0" eaLnBrk="0" fontAlgn="base" latinLnBrk="0" hangingPunct="0">
                                <a:lnSpc>
                                  <a:spcPct val="100000"/>
                                </a:lnSpc>
                                <a:spcBef>
                                  <a:spcPct val="0"/>
                                </a:spcBef>
                                <a:spcAft>
                                  <a:spcPct val="0"/>
                                </a:spcAft>
                                <a:buClrTx/>
                                <a:buSzTx/>
                                <a:buFontTx/>
                                <a:buNone/>
                                <a:tabLst/>
                              </a:pPr>
                              <a:endParaRPr kumimoji="0" lang="en-US" sz="1800" b="0" i="0" u="none" strike="noStrike" cap="none" normalizeH="0" baseline="0">
                                <a:ln>
                                  <a:noFill/>
                                </a:ln>
                                <a:solidFill>
                                  <a:srgbClr val="00FF00"/>
                                </a:solidFill>
                                <a:effectLst/>
                                <a:latin typeface="Arial" charset="0"/>
                              </a:endParaRPr>
                            </a:p>
                          </a:txBody>
                          <a:useSpRect/>
                        </a:txSp>
                      </a:sp>
                      <a:cxnSp>
                        <a:nvCxnSpPr>
                          <a:cNvPr id="23" name="Straight Arrow Connector 22"/>
                          <a:cNvCxnSpPr>
                            <a:stCxn id="22" idx="2"/>
                          </a:cNvCxnSpPr>
                        </a:nvCxnSpPr>
                        <a:spPr bwMode="auto">
                          <a:xfrm rot="10800000">
                            <a:off x="1521618" y="812376"/>
                            <a:ext cx="171611" cy="1588"/>
                          </a:xfrm>
                          <a:prstGeom prst="straightConnector1">
                            <a:avLst/>
                          </a:prstGeom>
                          <a:solidFill>
                            <a:schemeClr val="accent1"/>
                          </a:solidFill>
                          <a:ln w="9525" cap="flat" cmpd="sng" algn="ctr">
                            <a:solidFill>
                              <a:srgbClr val="00FF00"/>
                            </a:solidFill>
                            <a:prstDash val="solid"/>
                            <a:round/>
                            <a:headEnd type="none" w="med" len="med"/>
                            <a:tailEnd type="triangle"/>
                          </a:ln>
                          <a:effectLst/>
                        </a:spPr>
                      </a:cxnSp>
                    </a:grpSp>
                    <a:grpSp>
                      <a:nvGrpSpPr>
                        <a:cNvPr id="7" name="Group 23"/>
                        <a:cNvGrpSpPr/>
                      </a:nvGrpSpPr>
                      <a:grpSpPr>
                        <a:xfrm>
                          <a:off x="8057943" y="3974000"/>
                          <a:ext cx="549154" cy="389025"/>
                          <a:chOff x="1521618" y="617863"/>
                          <a:chExt cx="549154" cy="389025"/>
                        </a:xfrm>
                      </a:grpSpPr>
                      <a:sp>
                        <a:nvSpPr>
                          <a:cNvPr id="25" name="TextBox 24"/>
                          <a:cNvSpPr txBox="1"/>
                        </a:nvSpPr>
                        <a:spPr>
                          <a:xfrm>
                            <a:off x="1742900" y="648576"/>
                            <a:ext cx="284515" cy="307777"/>
                          </a:xfrm>
                          <a:prstGeom prst="rect">
                            <a:avLst/>
                          </a:prstGeom>
                          <a:noFill/>
                          <a:ln w="3175">
                            <a:noFill/>
                          </a:ln>
                        </a:spPr>
                        <a:txSp>
                          <a:txBody>
                            <a:bodyPr wrap="none" rtlCol="0">
                              <a:spAutoFit/>
                            </a:bodyPr>
                            <a:lstStyle>
                              <a:defPPr>
                                <a:defRPr lang="en-US"/>
                              </a:defPPr>
                              <a:lvl1pPr algn="l" rtl="0" eaLnBrk="0" fontAlgn="base" hangingPunct="0">
                                <a:spcBef>
                                  <a:spcPct val="0"/>
                                </a:spcBef>
                                <a:spcAft>
                                  <a:spcPct val="0"/>
                                </a:spcAft>
                                <a:defRPr kern="1200">
                                  <a:solidFill>
                                    <a:schemeClr val="tx1"/>
                                  </a:solidFill>
                                  <a:latin typeface="Arial" charset="0"/>
                                  <a:ea typeface="+mn-ea"/>
                                  <a:cs typeface="+mn-cs"/>
                                </a:defRPr>
                              </a:lvl1pPr>
                              <a:lvl2pPr marL="457200" algn="l" rtl="0" eaLnBrk="0" fontAlgn="base" hangingPunct="0">
                                <a:spcBef>
                                  <a:spcPct val="0"/>
                                </a:spcBef>
                                <a:spcAft>
                                  <a:spcPct val="0"/>
                                </a:spcAft>
                                <a:defRPr kern="1200">
                                  <a:solidFill>
                                    <a:schemeClr val="tx1"/>
                                  </a:solidFill>
                                  <a:latin typeface="Arial" charset="0"/>
                                  <a:ea typeface="+mn-ea"/>
                                  <a:cs typeface="+mn-cs"/>
                                </a:defRPr>
                              </a:lvl2pPr>
                              <a:lvl3pPr marL="914400" algn="l" rtl="0" eaLnBrk="0" fontAlgn="base" hangingPunct="0">
                                <a:spcBef>
                                  <a:spcPct val="0"/>
                                </a:spcBef>
                                <a:spcAft>
                                  <a:spcPct val="0"/>
                                </a:spcAft>
                                <a:defRPr kern="1200">
                                  <a:solidFill>
                                    <a:schemeClr val="tx1"/>
                                  </a:solidFill>
                                  <a:latin typeface="Arial" charset="0"/>
                                  <a:ea typeface="+mn-ea"/>
                                  <a:cs typeface="+mn-cs"/>
                                </a:defRPr>
                              </a:lvl3pPr>
                              <a:lvl4pPr marL="1371600" algn="l" rtl="0" eaLnBrk="0" fontAlgn="base" hangingPunct="0">
                                <a:spcBef>
                                  <a:spcPct val="0"/>
                                </a:spcBef>
                                <a:spcAft>
                                  <a:spcPct val="0"/>
                                </a:spcAft>
                                <a:defRPr kern="1200">
                                  <a:solidFill>
                                    <a:schemeClr val="tx1"/>
                                  </a:solidFill>
                                  <a:latin typeface="Arial" charset="0"/>
                                  <a:ea typeface="+mn-ea"/>
                                  <a:cs typeface="+mn-cs"/>
                                </a:defRPr>
                              </a:lvl4pPr>
                              <a:lvl5pPr marL="1828800" algn="l" rtl="0" eaLnBrk="0" fontAlgn="base" hangingPunct="0">
                                <a:spcBef>
                                  <a:spcPct val="0"/>
                                </a:spcBef>
                                <a:spcAft>
                                  <a:spcPct val="0"/>
                                </a:spcAft>
                                <a:defRPr kern="1200">
                                  <a:solidFill>
                                    <a:schemeClr val="tx1"/>
                                  </a:solidFill>
                                  <a:latin typeface="Arial" charset="0"/>
                                  <a:ea typeface="+mn-ea"/>
                                  <a:cs typeface="+mn-cs"/>
                                </a:defRPr>
                              </a:lvl5pPr>
                              <a:lvl6pPr marL="2286000" algn="l" defTabSz="457200" rtl="0" eaLnBrk="1" latinLnBrk="0" hangingPunct="1">
                                <a:defRPr kern="1200">
                                  <a:solidFill>
                                    <a:schemeClr val="tx1"/>
                                  </a:solidFill>
                                  <a:latin typeface="Arial" charset="0"/>
                                  <a:ea typeface="+mn-ea"/>
                                  <a:cs typeface="+mn-cs"/>
                                </a:defRPr>
                              </a:lvl6pPr>
                              <a:lvl7pPr marL="2743200" algn="l" defTabSz="457200" rtl="0" eaLnBrk="1" latinLnBrk="0" hangingPunct="1">
                                <a:defRPr kern="1200">
                                  <a:solidFill>
                                    <a:schemeClr val="tx1"/>
                                  </a:solidFill>
                                  <a:latin typeface="Arial" charset="0"/>
                                  <a:ea typeface="+mn-ea"/>
                                  <a:cs typeface="+mn-cs"/>
                                </a:defRPr>
                              </a:lvl7pPr>
                              <a:lvl8pPr marL="3200400" algn="l" defTabSz="457200" rtl="0" eaLnBrk="1" latinLnBrk="0" hangingPunct="1">
                                <a:defRPr kern="1200">
                                  <a:solidFill>
                                    <a:schemeClr val="tx1"/>
                                  </a:solidFill>
                                  <a:latin typeface="Arial" charset="0"/>
                                  <a:ea typeface="+mn-ea"/>
                                  <a:cs typeface="+mn-cs"/>
                                </a:defRPr>
                              </a:lvl8pPr>
                              <a:lvl9pPr marL="3657600" algn="l" defTabSz="457200" rtl="0" eaLnBrk="1" latinLnBrk="0" hangingPunct="1">
                                <a:defRPr kern="1200">
                                  <a:solidFill>
                                    <a:schemeClr val="tx1"/>
                                  </a:solidFill>
                                  <a:latin typeface="Arial" charset="0"/>
                                  <a:ea typeface="+mn-ea"/>
                                  <a:cs typeface="+mn-cs"/>
                                </a:defRPr>
                              </a:lvl9pPr>
                            </a:lstStyle>
                            <a:p>
                              <a:r>
                                <a:rPr lang="en-US" sz="1400" dirty="0">
                                  <a:solidFill>
                                    <a:srgbClr val="00FF00"/>
                                  </a:solidFill>
                                </a:rPr>
                                <a:t>4</a:t>
                              </a:r>
                              <a:endParaRPr lang="en-US" sz="1400" dirty="0">
                                <a:solidFill>
                                  <a:srgbClr val="00FF00"/>
                                </a:solidFill>
                              </a:endParaRPr>
                            </a:p>
                          </a:txBody>
                          <a:useSpRect/>
                        </a:txSp>
                      </a:sp>
                      <a:sp>
                        <a:nvSpPr>
                          <a:cNvPr id="26" name="Oval 25"/>
                          <a:cNvSpPr/>
                        </a:nvSpPr>
                        <a:spPr bwMode="auto">
                          <a:xfrm>
                            <a:off x="1693228" y="617863"/>
                            <a:ext cx="377544" cy="389025"/>
                          </a:xfrm>
                          <a:prstGeom prst="ellipse">
                            <a:avLst/>
                          </a:prstGeom>
                          <a:noFill/>
                          <a:ln w="9525" cap="flat" cmpd="sng" algn="ctr">
                            <a:solidFill>
                              <a:srgbClr val="00FF00"/>
                            </a:solidFill>
                            <a:prstDash val="solid"/>
                            <a:round/>
                            <a:headEnd type="none" w="med" len="med"/>
                            <a:tailEnd type="none" w="med" len="med"/>
                          </a:ln>
                          <a:effectLst/>
                        </a:spPr>
                        <a:txSp>
                          <a:txBody>
                            <a:bodyPr vert="horz" wrap="square" lIns="91440" tIns="45720" rIns="91440" bIns="45720" numCol="1" rtlCol="0" anchor="t" anchorCtr="0" compatLnSpc="1">
                              <a:prstTxWarp prst="textNoShape">
                                <a:avLst/>
                              </a:prstTxWarp>
                            </a:bodyPr>
                            <a:lstStyle>
                              <a:defPPr>
                                <a:defRPr lang="en-US"/>
                              </a:defPPr>
                              <a:lvl1pPr algn="l" rtl="0" eaLnBrk="0" fontAlgn="base" hangingPunct="0">
                                <a:spcBef>
                                  <a:spcPct val="0"/>
                                </a:spcBef>
                                <a:spcAft>
                                  <a:spcPct val="0"/>
                                </a:spcAft>
                                <a:defRPr kern="1200">
                                  <a:solidFill>
                                    <a:schemeClr val="tx1"/>
                                  </a:solidFill>
                                  <a:latin typeface="Arial" charset="0"/>
                                  <a:ea typeface="+mn-ea"/>
                                  <a:cs typeface="+mn-cs"/>
                                </a:defRPr>
                              </a:lvl1pPr>
                              <a:lvl2pPr marL="457200" algn="l" rtl="0" eaLnBrk="0" fontAlgn="base" hangingPunct="0">
                                <a:spcBef>
                                  <a:spcPct val="0"/>
                                </a:spcBef>
                                <a:spcAft>
                                  <a:spcPct val="0"/>
                                </a:spcAft>
                                <a:defRPr kern="1200">
                                  <a:solidFill>
                                    <a:schemeClr val="tx1"/>
                                  </a:solidFill>
                                  <a:latin typeface="Arial" charset="0"/>
                                  <a:ea typeface="+mn-ea"/>
                                  <a:cs typeface="+mn-cs"/>
                                </a:defRPr>
                              </a:lvl2pPr>
                              <a:lvl3pPr marL="914400" algn="l" rtl="0" eaLnBrk="0" fontAlgn="base" hangingPunct="0">
                                <a:spcBef>
                                  <a:spcPct val="0"/>
                                </a:spcBef>
                                <a:spcAft>
                                  <a:spcPct val="0"/>
                                </a:spcAft>
                                <a:defRPr kern="1200">
                                  <a:solidFill>
                                    <a:schemeClr val="tx1"/>
                                  </a:solidFill>
                                  <a:latin typeface="Arial" charset="0"/>
                                  <a:ea typeface="+mn-ea"/>
                                  <a:cs typeface="+mn-cs"/>
                                </a:defRPr>
                              </a:lvl3pPr>
                              <a:lvl4pPr marL="1371600" algn="l" rtl="0" eaLnBrk="0" fontAlgn="base" hangingPunct="0">
                                <a:spcBef>
                                  <a:spcPct val="0"/>
                                </a:spcBef>
                                <a:spcAft>
                                  <a:spcPct val="0"/>
                                </a:spcAft>
                                <a:defRPr kern="1200">
                                  <a:solidFill>
                                    <a:schemeClr val="tx1"/>
                                  </a:solidFill>
                                  <a:latin typeface="Arial" charset="0"/>
                                  <a:ea typeface="+mn-ea"/>
                                  <a:cs typeface="+mn-cs"/>
                                </a:defRPr>
                              </a:lvl4pPr>
                              <a:lvl5pPr marL="1828800" algn="l" rtl="0" eaLnBrk="0" fontAlgn="base" hangingPunct="0">
                                <a:spcBef>
                                  <a:spcPct val="0"/>
                                </a:spcBef>
                                <a:spcAft>
                                  <a:spcPct val="0"/>
                                </a:spcAft>
                                <a:defRPr kern="1200">
                                  <a:solidFill>
                                    <a:schemeClr val="tx1"/>
                                  </a:solidFill>
                                  <a:latin typeface="Arial" charset="0"/>
                                  <a:ea typeface="+mn-ea"/>
                                  <a:cs typeface="+mn-cs"/>
                                </a:defRPr>
                              </a:lvl5pPr>
                              <a:lvl6pPr marL="2286000" algn="l" defTabSz="457200" rtl="0" eaLnBrk="1" latinLnBrk="0" hangingPunct="1">
                                <a:defRPr kern="1200">
                                  <a:solidFill>
                                    <a:schemeClr val="tx1"/>
                                  </a:solidFill>
                                  <a:latin typeface="Arial" charset="0"/>
                                  <a:ea typeface="+mn-ea"/>
                                  <a:cs typeface="+mn-cs"/>
                                </a:defRPr>
                              </a:lvl6pPr>
                              <a:lvl7pPr marL="2743200" algn="l" defTabSz="457200" rtl="0" eaLnBrk="1" latinLnBrk="0" hangingPunct="1">
                                <a:defRPr kern="1200">
                                  <a:solidFill>
                                    <a:schemeClr val="tx1"/>
                                  </a:solidFill>
                                  <a:latin typeface="Arial" charset="0"/>
                                  <a:ea typeface="+mn-ea"/>
                                  <a:cs typeface="+mn-cs"/>
                                </a:defRPr>
                              </a:lvl7pPr>
                              <a:lvl8pPr marL="3200400" algn="l" defTabSz="457200" rtl="0" eaLnBrk="1" latinLnBrk="0" hangingPunct="1">
                                <a:defRPr kern="1200">
                                  <a:solidFill>
                                    <a:schemeClr val="tx1"/>
                                  </a:solidFill>
                                  <a:latin typeface="Arial" charset="0"/>
                                  <a:ea typeface="+mn-ea"/>
                                  <a:cs typeface="+mn-cs"/>
                                </a:defRPr>
                              </a:lvl8pPr>
                              <a:lvl9pPr marL="3657600" algn="l" defTabSz="457200" rtl="0" eaLnBrk="1" latinLnBrk="0" hangingPunct="1">
                                <a:defRPr kern="1200">
                                  <a:solidFill>
                                    <a:schemeClr val="tx1"/>
                                  </a:solidFill>
                                  <a:latin typeface="Arial" charset="0"/>
                                  <a:ea typeface="+mn-ea"/>
                                  <a:cs typeface="+mn-cs"/>
                                </a:defRPr>
                              </a:lvl9pPr>
                            </a:lstStyle>
                            <a:p>
                              <a:pPr marL="0" marR="0" indent="0" algn="l" defTabSz="914400" rtl="0" eaLnBrk="0" fontAlgn="base" latinLnBrk="0" hangingPunct="0">
                                <a:lnSpc>
                                  <a:spcPct val="100000"/>
                                </a:lnSpc>
                                <a:spcBef>
                                  <a:spcPct val="0"/>
                                </a:spcBef>
                                <a:spcAft>
                                  <a:spcPct val="0"/>
                                </a:spcAft>
                                <a:buClrTx/>
                                <a:buSzTx/>
                                <a:buFontTx/>
                                <a:buNone/>
                                <a:tabLst/>
                              </a:pPr>
                              <a:endParaRPr kumimoji="0" lang="en-US" sz="1800" b="0" i="0" u="none" strike="noStrike" cap="none" normalizeH="0" baseline="0">
                                <a:ln>
                                  <a:noFill/>
                                </a:ln>
                                <a:solidFill>
                                  <a:srgbClr val="00FF00"/>
                                </a:solidFill>
                                <a:effectLst/>
                                <a:latin typeface="Arial" charset="0"/>
                              </a:endParaRPr>
                            </a:p>
                          </a:txBody>
                          <a:useSpRect/>
                        </a:txSp>
                      </a:sp>
                      <a:cxnSp>
                        <a:nvCxnSpPr>
                          <a:cNvPr id="27" name="Straight Arrow Connector 26"/>
                          <a:cNvCxnSpPr>
                            <a:stCxn id="26" idx="2"/>
                          </a:cNvCxnSpPr>
                        </a:nvCxnSpPr>
                        <a:spPr bwMode="auto">
                          <a:xfrm rot="10800000">
                            <a:off x="1521618" y="812376"/>
                            <a:ext cx="171611" cy="1588"/>
                          </a:xfrm>
                          <a:prstGeom prst="straightConnector1">
                            <a:avLst/>
                          </a:prstGeom>
                          <a:solidFill>
                            <a:schemeClr val="accent1"/>
                          </a:solidFill>
                          <a:ln w="9525" cap="flat" cmpd="sng" algn="ctr">
                            <a:solidFill>
                              <a:srgbClr val="00FF00"/>
                            </a:solidFill>
                            <a:prstDash val="solid"/>
                            <a:round/>
                            <a:headEnd type="none" w="med" len="med"/>
                            <a:tailEnd type="triangle"/>
                          </a:ln>
                          <a:effectLst/>
                        </a:spPr>
                      </a:cxnSp>
                    </a:grpSp>
                  </a:grpSp>
                </lc:lockedCanvas>
              </a:graphicData>
            </a:graphic>
          </wp:inline>
        </w:drawing>
      </w:r>
    </w:p>
    <w:p w:rsidR="0062591B" w:rsidRDefault="00404448" w:rsidP="00404448">
      <w:pPr>
        <w:pStyle w:val="Caption"/>
      </w:pPr>
      <w:bookmarkStart w:id="205" w:name="_Ref105669585"/>
      <w:bookmarkStart w:id="206" w:name="_Toc322942268"/>
      <w:r>
        <w:t xml:space="preserve">Figure </w:t>
      </w:r>
      <w:fldSimple w:instr=" SEQ Figure \* ARABIC ">
        <w:r w:rsidR="000D2EB4">
          <w:rPr>
            <w:noProof/>
          </w:rPr>
          <w:t>38</w:t>
        </w:r>
      </w:fldSimple>
      <w:bookmarkEnd w:id="205"/>
      <w:r>
        <w:t>:  Video crosstalk in module 11, outputs 1-4 from left to right.  The bright star is in output 4, which crosstalks as a negative image into output 3, and weak positive images into outputs 1 and 2 (somewhat obscured by adjacent bright star and high star density).  Circled numbers corresponding to each output point at the video crosstalk feature (outputs 1-3) and the center of the star image (for output 4).  Note that the charge bleed column also crosstalks.  Output 4 also shows a field flattener lens ghost (</w:t>
      </w:r>
      <w:r w:rsidR="00E607E6">
        <w:t>§</w:t>
      </w:r>
      <w:r w:rsidR="004C78B9">
        <w:fldChar w:fldCharType="begin"/>
      </w:r>
      <w:r w:rsidR="00C903B6">
        <w:instrText xml:space="preserve"> REF _Ref109034253 \r \h </w:instrText>
      </w:r>
      <w:r w:rsidR="004C78B9">
        <w:fldChar w:fldCharType="separate"/>
      </w:r>
      <w:r w:rsidR="000D2EB4">
        <w:t>3.10</w:t>
      </w:r>
      <w:r w:rsidR="004C78B9">
        <w:fldChar w:fldCharType="end"/>
      </w:r>
      <w:r>
        <w:t>).</w:t>
      </w:r>
      <w:bookmarkEnd w:id="206"/>
    </w:p>
    <w:p w:rsidR="00404448" w:rsidRPr="0062591B" w:rsidRDefault="0062591B" w:rsidP="0062591B">
      <w:r>
        <w:t>There is also FGS-to-Science Video crosstalk, distinct from the clock crosstalk discussed in §</w:t>
      </w:r>
      <w:r w:rsidR="004C78B9">
        <w:fldChar w:fldCharType="begin"/>
      </w:r>
      <w:r w:rsidR="00945ECC">
        <w:instrText xml:space="preserve"> REF _Ref109032840 \r \h </w:instrText>
      </w:r>
      <w:r w:rsidR="004C78B9">
        <w:fldChar w:fldCharType="separate"/>
      </w:r>
      <w:r>
        <w:t>6.2</w:t>
      </w:r>
      <w:r w:rsidR="004C78B9">
        <w:fldChar w:fldCharType="end"/>
      </w:r>
      <w:r>
        <w:t>, but since the arrays are read out at different rates this crosstalk is sparsely distributed in the science image, and can be detected only when the science data are repacked into the same format as FGS data.  It is insignificant in flight photometric data.</w:t>
      </w:r>
    </w:p>
    <w:p w:rsidR="00404448" w:rsidRPr="00394F88" w:rsidRDefault="00404448" w:rsidP="00404448">
      <w:pPr>
        <w:pStyle w:val="Heading2"/>
        <w:rPr>
          <w:sz w:val="22"/>
        </w:rPr>
      </w:pPr>
      <w:bookmarkStart w:id="207" w:name="_Ref109140269"/>
      <w:bookmarkStart w:id="208" w:name="_Ref201546727"/>
      <w:bookmarkStart w:id="209" w:name="_Toc322942199"/>
      <w:r w:rsidRPr="00394F88">
        <w:rPr>
          <w:sz w:val="22"/>
        </w:rPr>
        <w:t>Science Clock and Video Crosstalk into FGS</w:t>
      </w:r>
      <w:bookmarkEnd w:id="207"/>
      <w:bookmarkEnd w:id="209"/>
    </w:p>
    <w:p w:rsidR="00404448" w:rsidRDefault="00404448" w:rsidP="00404448">
      <w:r>
        <w:t>Science-to-FGS clock crosstalk is significantly larger than the noise in the FGS image in some FGS c</w:t>
      </w:r>
      <w:r w:rsidR="00647672">
        <w:t>hannels.  Since science clocks d</w:t>
      </w:r>
      <w:r>
        <w:t>o not operate continuously, but only during pixel readout, the science-to-FGS crosstalk amplitude varies with FGS frame, so removing this with a fixed dark image does not work.  However, the Flight Software has incorporated an algorithm which measures the amplitude of the Science-to-FGS clock crosstalk in the virtual pixel region of each FGS image, and removes the FGS crosstalk from the Pixels of Interest collected for centroiding and attitude determination.</w:t>
      </w:r>
    </w:p>
    <w:p w:rsidR="00404448" w:rsidRDefault="00404448" w:rsidP="00404448">
      <w:r>
        <w:t xml:space="preserve">Science-to-FGS video crosstalk is expected to be insignificant for the same reason that FGS-to-Science video crosstalk is insignificant:  the crosstalk from one kind of detector is distributed across the image formed by the other type of detector at an undetectable level, unless the image is repacked into the source detector format. </w:t>
      </w:r>
    </w:p>
    <w:p w:rsidR="00404448" w:rsidRPr="00F07958" w:rsidRDefault="00404448" w:rsidP="00404448">
      <w:r>
        <w:t>FGS to FGS video crosstalk can in principal be significant, since crosstalk is mapped onto the same pixel coordinates in different modules.  To examine FGS-to-FGS video crosstalk in lab data, the Science-to-</w:t>
      </w:r>
      <w:r w:rsidRPr="00F07958">
        <w:rPr>
          <w:rFonts w:cs="Arial"/>
        </w:rPr>
        <w:t>FGS clock</w:t>
      </w:r>
      <w:r>
        <w:rPr>
          <w:rFonts w:cs="Arial"/>
        </w:rPr>
        <w:t xml:space="preserve"> crosstalk was removed to isolate weak FGS-to-</w:t>
      </w:r>
      <w:r w:rsidRPr="00F07958">
        <w:rPr>
          <w:rFonts w:cs="Arial"/>
        </w:rPr>
        <w:t>FGS video cro</w:t>
      </w:r>
      <w:r>
        <w:rPr>
          <w:rFonts w:cs="Arial"/>
        </w:rPr>
        <w:t>sstalk signals.  W</w:t>
      </w:r>
      <w:r w:rsidRPr="00F07958">
        <w:rPr>
          <w:rFonts w:cs="Arial"/>
        </w:rPr>
        <w:t>h</w:t>
      </w:r>
      <w:r w:rsidRPr="00F07958">
        <w:t>ile crosstal</w:t>
      </w:r>
      <w:r>
        <w:t xml:space="preserve">k was </w:t>
      </w:r>
      <w:r w:rsidRPr="00F07958">
        <w:t>detectable at the ~1 DN = -60 dB level by this meth</w:t>
      </w:r>
      <w:r w:rsidR="00CD6618">
        <w:t>od, it was in all cases less tha</w:t>
      </w:r>
      <w:r w:rsidRPr="00F07958">
        <w:t xml:space="preserve">n </w:t>
      </w:r>
      <w:r>
        <w:t>0.3% of the stimulus, or -50 dB, and hence has a negligible effect on centroiding accuracy compared to errors from other sources.  Centroid stability is unaffected since, for a fixed set of ADCS stars, the error introduced by FGS-to-FGS crosstalk does not change with time.</w:t>
      </w:r>
    </w:p>
    <w:p w:rsidR="00404448" w:rsidRPr="00394F88" w:rsidRDefault="00404448" w:rsidP="00404448">
      <w:pPr>
        <w:pStyle w:val="Heading2"/>
        <w:rPr>
          <w:sz w:val="22"/>
        </w:rPr>
      </w:pPr>
      <w:bookmarkStart w:id="210" w:name="_Ref108508635"/>
      <w:bookmarkStart w:id="211" w:name="_Toc322942200"/>
      <w:r w:rsidRPr="00394F88">
        <w:rPr>
          <w:sz w:val="22"/>
        </w:rPr>
        <w:t>Start-of-Line Ringing</w:t>
      </w:r>
      <w:bookmarkEnd w:id="210"/>
      <w:bookmarkEnd w:id="211"/>
    </w:p>
    <w:p w:rsidR="00404448" w:rsidRPr="00ED11F1" w:rsidRDefault="00404448" w:rsidP="00404448">
      <w:pPr>
        <w:pStyle w:val="Heading3"/>
      </w:pPr>
      <w:bookmarkStart w:id="212" w:name="_Toc322942201"/>
      <w:bookmarkEnd w:id="208"/>
      <w:r>
        <w:t>Description</w:t>
      </w:r>
      <w:bookmarkEnd w:id="212"/>
    </w:p>
    <w:p w:rsidR="00404448" w:rsidRDefault="00404448" w:rsidP="00404448">
      <w:r>
        <w:t xml:space="preserve">After each row of 1132 pixels is read out from the serial register, the array uses 323 pixel periods to parallel clock the next row into the serial register.  At the start of the next readout of the serial register, there is a voltage transient which is called Start-of-Line Ringing (SOLR).  SOLR can be well-approximated for all channels by </w:t>
      </w:r>
    </w:p>
    <w:p w:rsidR="00404448" w:rsidRDefault="004C78B9" w:rsidP="00404448">
      <w:r w:rsidRPr="004C78B9">
        <w:rPr>
          <w:position w:val="-32"/>
        </w:rPr>
        <w:pict>
          <v:shape id="_x0000_i1032" type="#_x0000_t75" style="width:166.35pt;height:37.95pt">
            <v:imagedata r:id="rId70" r:pict="rId71" o:title=""/>
          </v:shape>
        </w:pict>
      </w:r>
      <w:r w:rsidR="00404448">
        <w:t xml:space="preserve">                                                                                         Eq. </w:t>
      </w:r>
      <w:r>
        <w:fldChar w:fldCharType="begin"/>
      </w:r>
      <w:r w:rsidR="00C903B6">
        <w:instrText xml:space="preserve"> REF _Ref108508635 \r \h </w:instrText>
      </w:r>
      <w:r>
        <w:fldChar w:fldCharType="separate"/>
      </w:r>
      <w:r w:rsidR="000D2EB4">
        <w:t>6.5</w:t>
      </w:r>
      <w:r>
        <w:fldChar w:fldCharType="end"/>
      </w:r>
      <w:r w:rsidR="00404448">
        <w:t xml:space="preserve">-1 </w:t>
      </w:r>
    </w:p>
    <w:p w:rsidR="00404448" w:rsidRPr="006264D7" w:rsidRDefault="00404448" w:rsidP="00404448">
      <w:pPr>
        <w:pStyle w:val="Caption"/>
        <w:rPr>
          <w:b w:val="0"/>
        </w:rPr>
      </w:pPr>
      <w:r w:rsidRPr="006264D7">
        <w:rPr>
          <w:b w:val="0"/>
        </w:rPr>
        <w:t xml:space="preserve">An example image is </w:t>
      </w:r>
      <w:r w:rsidRPr="00832E4A">
        <w:rPr>
          <w:b w:val="0"/>
        </w:rPr>
        <w:t xml:space="preserve">shown in </w:t>
      </w:r>
      <w:r w:rsidR="004C78B9" w:rsidRPr="00F61BD2">
        <w:rPr>
          <w:b w:val="0"/>
        </w:rPr>
        <w:fldChar w:fldCharType="begin"/>
      </w:r>
      <w:r w:rsidRPr="00F61BD2">
        <w:rPr>
          <w:b w:val="0"/>
        </w:rPr>
        <w:instrText xml:space="preserve"> REF _Ref205878368 \h </w:instrText>
      </w:r>
      <w:r w:rsidR="002559BD" w:rsidRPr="004C78B9">
        <w:rPr>
          <w:b w:val="0"/>
        </w:rPr>
      </w:r>
      <w:r w:rsidR="004C78B9" w:rsidRPr="00F61BD2">
        <w:rPr>
          <w:b w:val="0"/>
        </w:rPr>
        <w:fldChar w:fldCharType="separate"/>
      </w:r>
      <w:r w:rsidR="000D2EB4">
        <w:t xml:space="preserve">Figure </w:t>
      </w:r>
      <w:r w:rsidR="000D2EB4">
        <w:rPr>
          <w:noProof/>
        </w:rPr>
        <w:t>39</w:t>
      </w:r>
      <w:r w:rsidR="004C78B9" w:rsidRPr="00F61BD2">
        <w:rPr>
          <w:b w:val="0"/>
        </w:rPr>
        <w:fldChar w:fldCharType="end"/>
      </w:r>
      <w:r w:rsidRPr="00F61BD2">
        <w:rPr>
          <w:b w:val="0"/>
        </w:rPr>
        <w:t xml:space="preserve">, </w:t>
      </w:r>
      <w:r w:rsidRPr="00832E4A">
        <w:rPr>
          <w:b w:val="0"/>
        </w:rPr>
        <w:t xml:space="preserve">and an example of fitting Eq. </w:t>
      </w:r>
      <w:r w:rsidR="00A25664">
        <w:rPr>
          <w:b w:val="0"/>
        </w:rPr>
        <w:t>5</w:t>
      </w:r>
      <w:r>
        <w:rPr>
          <w:b w:val="0"/>
        </w:rPr>
        <w:t>-</w:t>
      </w:r>
      <w:r w:rsidRPr="00832E4A">
        <w:rPr>
          <w:b w:val="0"/>
        </w:rPr>
        <w:t xml:space="preserve">1 to the data in </w:t>
      </w:r>
      <w:r w:rsidR="004C78B9" w:rsidRPr="00F61BD2">
        <w:rPr>
          <w:b w:val="0"/>
        </w:rPr>
        <w:fldChar w:fldCharType="begin"/>
      </w:r>
      <w:r w:rsidRPr="00F61BD2">
        <w:rPr>
          <w:b w:val="0"/>
        </w:rPr>
        <w:instrText xml:space="preserve"> REF _Ref105491823 \h </w:instrText>
      </w:r>
      <w:r w:rsidR="002559BD" w:rsidRPr="004C78B9">
        <w:rPr>
          <w:b w:val="0"/>
        </w:rPr>
      </w:r>
      <w:r w:rsidR="004C78B9" w:rsidRPr="00F61BD2">
        <w:rPr>
          <w:b w:val="0"/>
        </w:rPr>
        <w:fldChar w:fldCharType="separate"/>
      </w:r>
      <w:r w:rsidR="000D2EB4">
        <w:t xml:space="preserve">Figure </w:t>
      </w:r>
      <w:r w:rsidR="000D2EB4">
        <w:rPr>
          <w:noProof/>
        </w:rPr>
        <w:t>40</w:t>
      </w:r>
      <w:r w:rsidR="004C78B9" w:rsidRPr="00F61BD2">
        <w:rPr>
          <w:b w:val="0"/>
        </w:rPr>
        <w:fldChar w:fldCharType="end"/>
      </w:r>
      <w:r w:rsidRPr="00832E4A">
        <w:rPr>
          <w:b w:val="0"/>
        </w:rPr>
        <w:t>.  While</w:t>
      </w:r>
      <w:r>
        <w:rPr>
          <w:b w:val="0"/>
        </w:rPr>
        <w:t xml:space="preserve"> the residuals shown exceed the 0.016 DN/pixel/integration discussed at the start of this Section, they are not expected to vary significantly with time or LDE temperature. </w:t>
      </w:r>
    </w:p>
    <w:p w:rsidR="00404448" w:rsidRPr="006264D7" w:rsidRDefault="00404448" w:rsidP="00404448">
      <w:r w:rsidRPr="006264D7">
        <w:t xml:space="preserve">All time constants are &lt;100 pixels so </w:t>
      </w:r>
      <w:r>
        <w:t xml:space="preserve">SOLR </w:t>
      </w:r>
      <w:r w:rsidRPr="006264D7">
        <w:t xml:space="preserve">is undetectable after 300 columns, or 27% of the image.  </w:t>
      </w:r>
    </w:p>
    <w:p w:rsidR="00404448" w:rsidRPr="00C02E4B" w:rsidRDefault="00404448" w:rsidP="00404448">
      <w:r>
        <w:t xml:space="preserve">SOLR is not precisely equal on all rows of an image, or precisely constant in time, so photometric calibration requires a </w:t>
      </w:r>
      <w:r w:rsidR="0028171E">
        <w:t xml:space="preserve">static </w:t>
      </w:r>
      <w:r>
        <w:t>2D black model</w:t>
      </w:r>
      <w:r w:rsidR="00E215B5">
        <w:t xml:space="preserve"> (KAM §2.3.5.2)</w:t>
      </w:r>
      <w:r>
        <w:t>, based on a large number of dark, cold, FFIs, to remove most of the</w:t>
      </w:r>
      <w:r w:rsidR="00AD3A41">
        <w:t xml:space="preserve"> SOLR, rather than fits to Eq. 6.5-1</w:t>
      </w:r>
      <w:r>
        <w:t xml:space="preserve">.   </w:t>
      </w:r>
    </w:p>
    <w:p w:rsidR="00404448" w:rsidRDefault="000518AB" w:rsidP="00404448">
      <w:pPr>
        <w:keepNext/>
      </w:pPr>
      <w:r>
        <w:rPr>
          <w:noProof/>
        </w:rPr>
        <w:drawing>
          <wp:inline distT="0" distB="0" distL="0" distR="0">
            <wp:extent cx="5932805" cy="7166610"/>
            <wp:effectExtent l="25400" t="0" r="10795" b="0"/>
            <wp:docPr id="44" name="Picture 44" descr="sol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sol_14"/>
                    <pic:cNvPicPr>
                      <a:picLocks noChangeAspect="1" noChangeArrowheads="1"/>
                    </pic:cNvPicPr>
                  </pic:nvPicPr>
                  <pic:blipFill>
                    <a:blip r:embed="rId72"/>
                    <a:srcRect/>
                    <a:stretch>
                      <a:fillRect/>
                    </a:stretch>
                  </pic:blipFill>
                  <pic:spPr bwMode="auto">
                    <a:xfrm>
                      <a:off x="0" y="0"/>
                      <a:ext cx="5932805" cy="7166610"/>
                    </a:xfrm>
                    <a:prstGeom prst="rect">
                      <a:avLst/>
                    </a:prstGeom>
                    <a:noFill/>
                    <a:ln w="9525">
                      <a:noFill/>
                      <a:miter lim="800000"/>
                      <a:headEnd/>
                      <a:tailEnd/>
                    </a:ln>
                  </pic:spPr>
                </pic:pic>
              </a:graphicData>
            </a:graphic>
          </wp:inline>
        </w:drawing>
      </w:r>
    </w:p>
    <w:p w:rsidR="00404448" w:rsidRDefault="00404448" w:rsidP="00404448">
      <w:pPr>
        <w:pStyle w:val="Caption"/>
      </w:pPr>
      <w:bookmarkStart w:id="213" w:name="_Ref205878368"/>
      <w:bookmarkStart w:id="214" w:name="_Toc322942269"/>
      <w:r>
        <w:t xml:space="preserve">Figure </w:t>
      </w:r>
      <w:fldSimple w:instr=" SEQ Figure \* ARABIC ">
        <w:r w:rsidR="000D2EB4">
          <w:rPr>
            <w:noProof/>
          </w:rPr>
          <w:t>39</w:t>
        </w:r>
      </w:fldSimple>
      <w:bookmarkEnd w:id="213"/>
      <w:r>
        <w:t xml:space="preserve">:  270 frame, 30 minute FFI showing Start-of-Line ringing for the channel requiring the greatest number of terms for a good fit, Channel 14.4. The image is cold, forward-clocked, and linearly scaled between “Clip Min” and “Clip Max.”  Same data as used for </w:t>
      </w:r>
      <w:r w:rsidR="004C78B9">
        <w:fldChar w:fldCharType="begin"/>
      </w:r>
      <w:r w:rsidR="00C903B6">
        <w:instrText xml:space="preserve"> REF _Ref105491823 \h </w:instrText>
      </w:r>
      <w:r w:rsidR="004C78B9">
        <w:fldChar w:fldCharType="separate"/>
      </w:r>
      <w:r w:rsidR="000D2EB4">
        <w:t xml:space="preserve">Figure </w:t>
      </w:r>
      <w:r w:rsidR="000D2EB4">
        <w:rPr>
          <w:noProof/>
        </w:rPr>
        <w:t>40</w:t>
      </w:r>
      <w:r w:rsidR="004C78B9">
        <w:fldChar w:fldCharType="end"/>
      </w:r>
      <w:r>
        <w:t>.</w:t>
      </w:r>
      <w:bookmarkEnd w:id="214"/>
    </w:p>
    <w:p w:rsidR="00404448" w:rsidRDefault="000518AB" w:rsidP="0028171E">
      <w:pPr>
        <w:keepNext/>
      </w:pPr>
      <w:r>
        <w:rPr>
          <w:noProof/>
        </w:rPr>
        <w:drawing>
          <wp:anchor distT="0" distB="0" distL="114300" distR="114300" simplePos="0" relativeHeight="251656192" behindDoc="0" locked="0" layoutInCell="1" allowOverlap="1">
            <wp:simplePos x="0" y="0"/>
            <wp:positionH relativeFrom="column">
              <wp:posOffset>-73025</wp:posOffset>
            </wp:positionH>
            <wp:positionV relativeFrom="paragraph">
              <wp:posOffset>106680</wp:posOffset>
            </wp:positionV>
            <wp:extent cx="5939155" cy="2612390"/>
            <wp:effectExtent l="25400" t="0" r="4445" b="0"/>
            <wp:wrapTight wrapText="bothSides">
              <wp:wrapPolygon edited="0">
                <wp:start x="-92" y="210"/>
                <wp:lineTo x="-92" y="21211"/>
                <wp:lineTo x="21616" y="21211"/>
                <wp:lineTo x="21616" y="210"/>
                <wp:lineTo x="-92" y="210"/>
              </wp:wrapPolygon>
            </wp:wrapTight>
            <wp:docPr id="669" name="Picture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9"/>
                    <pic:cNvPicPr>
                      <a:picLocks noChangeAspect="1" noChangeArrowheads="1"/>
                    </pic:cNvPicPr>
                  </pic:nvPicPr>
                  <pic:blipFill>
                    <a:blip r:embed="rId73"/>
                    <a:srcRect/>
                    <a:stretch>
                      <a:fillRect/>
                    </a:stretch>
                  </pic:blipFill>
                  <pic:spPr bwMode="auto">
                    <a:xfrm>
                      <a:off x="0" y="0"/>
                      <a:ext cx="5939155" cy="2612390"/>
                    </a:xfrm>
                    <a:prstGeom prst="rect">
                      <a:avLst/>
                    </a:prstGeom>
                    <a:noFill/>
                    <a:ln w="9525">
                      <a:noFill/>
                      <a:miter lim="800000"/>
                      <a:headEnd/>
                      <a:tailEnd/>
                    </a:ln>
                  </pic:spPr>
                </pic:pic>
              </a:graphicData>
            </a:graphic>
          </wp:anchor>
        </w:drawing>
      </w:r>
      <w:bookmarkStart w:id="215" w:name="_Ref205878205"/>
    </w:p>
    <w:p w:rsidR="00404448" w:rsidRPr="00503A00" w:rsidRDefault="00404448" w:rsidP="001378F9">
      <w:pPr>
        <w:pStyle w:val="Caption"/>
      </w:pPr>
      <w:bookmarkStart w:id="216" w:name="_Ref105491823"/>
      <w:bookmarkStart w:id="217" w:name="_Toc322942270"/>
      <w:r>
        <w:t xml:space="preserve">Figure </w:t>
      </w:r>
      <w:fldSimple w:instr=" SEQ Figure \* ARABIC ">
        <w:r w:rsidR="000D2EB4">
          <w:rPr>
            <w:noProof/>
          </w:rPr>
          <w:t>40</w:t>
        </w:r>
      </w:fldSimple>
      <w:bookmarkEnd w:id="215"/>
      <w:bookmarkEnd w:id="216"/>
      <w:r>
        <w:t>:  5-term damped oscillator fit to Start-of-Line ringing for the channel requiring the greatest number of terms for a good fit, Channel 14.4.  Left:  Fit</w:t>
      </w:r>
      <w:r w:rsidR="00A25664">
        <w:t xml:space="preserve"> to data</w:t>
      </w:r>
      <w:r>
        <w:t xml:space="preserve">.  Right:  Residuals showing that the 5-term fit has residuals &lt; 0.02 DN/read.  Same data as in </w:t>
      </w:r>
      <w:r w:rsidR="004C78B9">
        <w:fldChar w:fldCharType="begin"/>
      </w:r>
      <w:r w:rsidR="00C903B6">
        <w:instrText xml:space="preserve"> REF _Ref205878368 \h </w:instrText>
      </w:r>
      <w:r w:rsidR="004C78B9">
        <w:fldChar w:fldCharType="separate"/>
      </w:r>
      <w:r w:rsidR="000D2EB4">
        <w:t xml:space="preserve">Figure </w:t>
      </w:r>
      <w:r w:rsidR="000D2EB4">
        <w:rPr>
          <w:noProof/>
        </w:rPr>
        <w:t>39</w:t>
      </w:r>
      <w:r w:rsidR="004C78B9">
        <w:fldChar w:fldCharType="end"/>
      </w:r>
      <w:r>
        <w:t>.</w:t>
      </w:r>
      <w:bookmarkEnd w:id="217"/>
    </w:p>
    <w:p w:rsidR="00404448" w:rsidRDefault="00404448" w:rsidP="00404448">
      <w:pPr>
        <w:pStyle w:val="Heading3"/>
      </w:pPr>
      <w:bookmarkStart w:id="218" w:name="_Ref202070180"/>
      <w:bookmarkStart w:id="219" w:name="_Ref202070974"/>
      <w:bookmarkStart w:id="220" w:name="_Toc322942202"/>
      <w:r>
        <w:t>Photometric Consequences</w:t>
      </w:r>
      <w:bookmarkEnd w:id="220"/>
    </w:p>
    <w:p w:rsidR="00404448" w:rsidRPr="00CA163C" w:rsidRDefault="00404448" w:rsidP="00404448">
      <w:r>
        <w:t>SOLR is a relatively benign artifact, since the t</w:t>
      </w:r>
      <w:r w:rsidRPr="008E1C24">
        <w:t xml:space="preserve">hermal variation is small (&lt;0.05 DN/read) for </w:t>
      </w:r>
      <w:r>
        <w:t xml:space="preserve">the </w:t>
      </w:r>
      <w:r w:rsidRPr="008E1C24">
        <w:t>ΔT=2.5 C</w:t>
      </w:r>
      <w:r>
        <w:t xml:space="preserve"> expected between quarterly rolls.  The corresponding</w:t>
      </w:r>
      <w:r w:rsidRPr="008E1C24">
        <w:t xml:space="preserve"> thermal variation is comparable to the fit residuals</w:t>
      </w:r>
      <w:r>
        <w:t>.  Since t</w:t>
      </w:r>
      <w:r w:rsidRPr="008E1C24">
        <w:t>he struct</w:t>
      </w:r>
      <w:r>
        <w:t>ure of SOLR is comparati</w:t>
      </w:r>
      <w:r w:rsidRPr="008E1C24">
        <w:t>vely constant, and varies linearly with temperature in the temperat</w:t>
      </w:r>
      <w:r>
        <w:t>ure range of interest, the changes over transit time scales are on the order of 0.001 DN/pixel/read and are negligible.</w:t>
      </w:r>
    </w:p>
    <w:p w:rsidR="00404448" w:rsidRDefault="00404448" w:rsidP="00404448">
      <w:pPr>
        <w:pStyle w:val="Heading3"/>
      </w:pPr>
      <w:bookmarkStart w:id="221" w:name="_Toc322942203"/>
      <w:r>
        <w:t>Mitigation</w:t>
      </w:r>
      <w:bookmarkEnd w:id="221"/>
    </w:p>
    <w:p w:rsidR="00404448" w:rsidRPr="008E1C24" w:rsidRDefault="000B7841" w:rsidP="00404448">
      <w:r>
        <w:t xml:space="preserve">In flight data, </w:t>
      </w:r>
      <w:r w:rsidR="000219EB">
        <w:t xml:space="preserve">SOLR </w:t>
      </w:r>
      <w:r>
        <w:t>was stable enough in time and temperature to be an insignificant source of photometric error</w:t>
      </w:r>
      <w:r w:rsidR="00020A56">
        <w:t xml:space="preserve"> </w:t>
      </w:r>
      <w:r w:rsidR="000219EB">
        <w:t>(</w:t>
      </w:r>
      <w:r w:rsidR="00E215B5">
        <w:t xml:space="preserve">Kolodziejczak </w:t>
      </w:r>
      <w:r w:rsidR="00E215B5" w:rsidRPr="00AD3A41">
        <w:rPr>
          <w:i/>
        </w:rPr>
        <w:t>et al.</w:t>
      </w:r>
      <w:r w:rsidR="000219EB">
        <w:t xml:space="preserve">, </w:t>
      </w:r>
      <w:r w:rsidR="00E215B5">
        <w:t>2010</w:t>
      </w:r>
      <w:r w:rsidR="000219EB">
        <w:t>).</w:t>
      </w:r>
    </w:p>
    <w:p w:rsidR="00404448" w:rsidRPr="00394F88" w:rsidRDefault="00404448" w:rsidP="00404448">
      <w:pPr>
        <w:pStyle w:val="Heading2"/>
        <w:rPr>
          <w:sz w:val="22"/>
        </w:rPr>
      </w:pPr>
      <w:bookmarkStart w:id="222" w:name="_Ref109059970"/>
      <w:bookmarkStart w:id="223" w:name="_Toc322942204"/>
      <w:r w:rsidRPr="00394F88">
        <w:rPr>
          <w:sz w:val="22"/>
        </w:rPr>
        <w:t>Undershoot</w:t>
      </w:r>
      <w:bookmarkEnd w:id="222"/>
      <w:bookmarkEnd w:id="223"/>
    </w:p>
    <w:p w:rsidR="00404448" w:rsidRDefault="00404448" w:rsidP="00404448">
      <w:pPr>
        <w:pStyle w:val="Heading3"/>
      </w:pPr>
      <w:bookmarkStart w:id="224" w:name="_Toc322942205"/>
      <w:bookmarkEnd w:id="218"/>
      <w:bookmarkEnd w:id="219"/>
      <w:r>
        <w:t>Description</w:t>
      </w:r>
      <w:bookmarkEnd w:id="224"/>
    </w:p>
    <w:p w:rsidR="00404448" w:rsidRDefault="00404448" w:rsidP="00404448">
      <w:r>
        <w:t>Undershoot is the distortion of signals with</w:t>
      </w:r>
      <w:r w:rsidR="00AD7FF4">
        <w:t xml:space="preserve"> large pixel-to-pixel variation</w:t>
      </w:r>
      <w:r>
        <w:t xml:space="preserve"> in the direction of the change.  Low-signal pixels immediately following (</w:t>
      </w:r>
      <w:r w:rsidRPr="005E7AA6">
        <w:rPr>
          <w:i/>
        </w:rPr>
        <w:t>downstream</w:t>
      </w:r>
      <w:r>
        <w:t xml:space="preserve"> of) high-signal pixels drop below the undistorted signal level for those pixels, and vice versa for steep increases in signal.  For example, when a step function input – such as Charge Injection – goes to zero relative to the local black level of the CCD, the observed signal goes below zero and remains detectably below zero for the longest delays analyzed (20 pixels), as shown in </w:t>
      </w:r>
      <w:r w:rsidR="004C78B9">
        <w:fldChar w:fldCharType="begin"/>
      </w:r>
      <w:r w:rsidR="00C903B6">
        <w:instrText xml:space="preserve"> REF _Ref205963471 \h </w:instrText>
      </w:r>
      <w:r w:rsidR="004C78B9">
        <w:fldChar w:fldCharType="separate"/>
      </w:r>
      <w:r w:rsidR="000D2EB4">
        <w:t xml:space="preserve">Figure </w:t>
      </w:r>
      <w:r w:rsidR="000D2EB4">
        <w:rPr>
          <w:noProof/>
        </w:rPr>
        <w:t>41</w:t>
      </w:r>
      <w:r w:rsidR="004C78B9">
        <w:fldChar w:fldCharType="end"/>
      </w:r>
      <w:r>
        <w:t xml:space="preserve">. In flight data, it is most noticeable in columns adjacent to bleeding columns from saturating stars, as shown in </w:t>
      </w:r>
      <w:r w:rsidR="004C78B9">
        <w:fldChar w:fldCharType="begin"/>
      </w:r>
      <w:r w:rsidR="00C903B6">
        <w:instrText xml:space="preserve"> REF _Ref105753204 \h </w:instrText>
      </w:r>
      <w:r w:rsidR="004C78B9">
        <w:fldChar w:fldCharType="separate"/>
      </w:r>
      <w:r w:rsidR="000D2EB4">
        <w:t xml:space="preserve">Figure </w:t>
      </w:r>
      <w:r w:rsidR="000D2EB4">
        <w:rPr>
          <w:noProof/>
        </w:rPr>
        <w:t>42</w:t>
      </w:r>
      <w:r w:rsidR="004C78B9">
        <w:fldChar w:fldCharType="end"/>
      </w:r>
      <w:r>
        <w:t xml:space="preserve">.  In </w:t>
      </w:r>
      <w:r w:rsidRPr="00BC05CC">
        <w:t>KADN-26197</w:t>
      </w:r>
      <w:r w:rsidR="00B27542">
        <w:t xml:space="preserve"> (Van Cleve, </w:t>
      </w:r>
      <w:r w:rsidR="00D2509C">
        <w:t>2016b</w:t>
      </w:r>
      <w:r w:rsidR="00B27542">
        <w:t>)</w:t>
      </w:r>
      <w:r>
        <w:t>, the linear part of undershoot is treated in detail for each channel.  Channels 11.3 and 15.3 have undershoots 3x larger than the next largest undershoot</w:t>
      </w:r>
      <w:r w:rsidR="002403ED">
        <w:t>.</w:t>
      </w:r>
    </w:p>
    <w:p w:rsidR="00404448" w:rsidRPr="00BC05CC" w:rsidRDefault="00404448" w:rsidP="00404448">
      <w:r>
        <w:t>Closer examination of the undershoot phenomenon (Kolodziejczak, 2009</w:t>
      </w:r>
      <w:r w:rsidR="00320736">
        <w:t>c</w:t>
      </w:r>
      <w:r>
        <w:t>) shows that there is a non-linear component as well</w:t>
      </w:r>
      <w:r w:rsidR="00320736">
        <w:t>, which was small enough to be negligible for pipeline data analysis.</w:t>
      </w:r>
    </w:p>
    <w:p w:rsidR="00404448" w:rsidRDefault="004C78B9" w:rsidP="00404448">
      <w:pPr>
        <w:keepNext/>
      </w:pPr>
      <w:r>
        <w:pict>
          <v:group id="_x0000_s1526" style="width:461.75pt;height:415.55pt;mso-position-horizontal-relative:char;mso-position-vertical-relative:line" coordorigin="2526,6828" coordsize="6359,5723">
            <o:lock v:ext="edit" aspectratio="t"/>
            <v:shape id="_x0000_s1525" type="#_x0000_t75" style="position:absolute;left:2526;top:6828;width:6359;height:5723" o:preferrelative="f">
              <v:fill o:detectmouseclick="t"/>
              <v:path o:extrusionok="t" o:connecttype="none"/>
              <o:lock v:ext="edit" text="t"/>
            </v:shape>
            <v:shape id="_x0000_s1518" type="#_x0000_t75" style="position:absolute;left:2526;top:6828;width:3877;height:5723" fillcolor="#bbe0e3">
              <v:imagedata r:id="rId74" o:title=""/>
            </v:shape>
            <v:line id="_x0000_s1519" style="position:absolute;flip:x" from="5718,8573" to="6777,9169" strokecolor="lime" strokeweight="3pt">
              <v:stroke endarrow="block"/>
            </v:line>
            <v:line id="_x0000_s1520" style="position:absolute" from="6304,9107" to="6739,9255" strokecolor="lime" strokeweight="3pt">
              <v:stroke startarrow="block"/>
            </v:line>
            <v:shape id="_x0000_s1521" type="#_x0000_t202" style="position:absolute;left:6803;top:8284;width:1654;height:444;v-text-anchor:top-baseline" filled="f" fillcolor="#bbe0e3" stroked="f">
              <v:textbox style="mso-next-textbox:#_x0000_s1521">
                <w:txbxContent>
                  <w:p w:rsidR="00FC6238" w:rsidRDefault="00FC6238" w:rsidP="00404448">
                    <w:pPr>
                      <w:autoSpaceDE w:val="0"/>
                      <w:autoSpaceDN w:val="0"/>
                      <w:adjustRightInd w:val="0"/>
                      <w:rPr>
                        <w:rFonts w:cs="Arial"/>
                        <w:color w:val="000000"/>
                        <w:sz w:val="36"/>
                        <w:szCs w:val="36"/>
                      </w:rPr>
                    </w:pPr>
                    <w:r>
                      <w:rPr>
                        <w:rFonts w:cs="Arial"/>
                        <w:color w:val="000000"/>
                        <w:sz w:val="36"/>
                        <w:szCs w:val="36"/>
                      </w:rPr>
                      <w:t>Undershoot</w:t>
                    </w:r>
                  </w:p>
                </w:txbxContent>
              </v:textbox>
            </v:shape>
            <v:shape id="_x0000_s1522" type="#_x0000_t202" style="position:absolute;left:6666;top:9142;width:2219;height:884" filled="f" fillcolor="#bbe0e3" stroked="f">
              <v:textbox style="mso-next-textbox:#_x0000_s1522">
                <w:txbxContent>
                  <w:p w:rsidR="00FC6238" w:rsidRDefault="00FC6238" w:rsidP="00404448">
                    <w:pPr>
                      <w:autoSpaceDE w:val="0"/>
                      <w:autoSpaceDN w:val="0"/>
                      <w:adjustRightInd w:val="0"/>
                      <w:rPr>
                        <w:rFonts w:cs="Arial"/>
                        <w:color w:val="000000"/>
                        <w:sz w:val="28"/>
                        <w:szCs w:val="28"/>
                      </w:rPr>
                    </w:pPr>
                    <w:r>
                      <w:rPr>
                        <w:rFonts w:cs="Arial"/>
                        <w:color w:val="000000"/>
                        <w:sz w:val="28"/>
                        <w:szCs w:val="28"/>
                      </w:rPr>
                      <w:t>FGS Crosstalk (single pixel at end of row)</w:t>
                    </w:r>
                  </w:p>
                </w:txbxContent>
              </v:textbox>
            </v:shape>
            <v:shape id="_x0000_s1523" type="#_x0000_t202" style="position:absolute;left:3001;top:9007;width:2338;height:333;v-text-anchor:top-baseline" filled="f" fillcolor="#bbe0e3" stroked="f">
              <v:textbox style="mso-next-textbox:#_x0000_s1523">
                <w:txbxContent>
                  <w:p w:rsidR="00FC6238" w:rsidRDefault="00FC6238" w:rsidP="00404448">
                    <w:pPr>
                      <w:autoSpaceDE w:val="0"/>
                      <w:autoSpaceDN w:val="0"/>
                      <w:adjustRightInd w:val="0"/>
                      <w:rPr>
                        <w:rFonts w:cs="Arial"/>
                        <w:color w:val="000000"/>
                      </w:rPr>
                    </w:pPr>
                    <w:r>
                      <w:rPr>
                        <w:rFonts w:cs="Arial"/>
                        <w:color w:val="000000"/>
                      </w:rPr>
                      <w:t>Charge Injection Rows</w:t>
                    </w:r>
                  </w:p>
                </w:txbxContent>
              </v:textbox>
            </v:shape>
            <v:shape id="_x0000_s1524" type="#_x0000_t202" style="position:absolute;left:3662;top:9899;width:2023;height:2392;rotation:-4415825fd;v-text-anchor:top-baseline" filled="f" fillcolor="#bbe0e3" stroked="f">
              <v:textbox style="mso-next-textbox:#_x0000_s1524">
                <w:txbxContent>
                  <w:p w:rsidR="00FC6238" w:rsidRDefault="00FC6238" w:rsidP="00404448">
                    <w:pPr>
                      <w:autoSpaceDE w:val="0"/>
                      <w:autoSpaceDN w:val="0"/>
                      <w:adjustRightInd w:val="0"/>
                      <w:rPr>
                        <w:rFonts w:cs="Arial"/>
                        <w:color w:val="000000"/>
                        <w:sz w:val="36"/>
                        <w:szCs w:val="36"/>
                      </w:rPr>
                    </w:pPr>
                    <w:r>
                      <w:rPr>
                        <w:rFonts w:cs="Arial"/>
                        <w:color w:val="000000"/>
                        <w:sz w:val="36"/>
                        <w:szCs w:val="36"/>
                      </w:rPr>
                      <w:t>FGS Crosstalk</w:t>
                    </w:r>
                  </w:p>
                </w:txbxContent>
              </v:textbox>
            </v:shape>
            <v:line id="_x0000_s1527" style="position:absolute" from="5424,10566" to="5507,10649">
              <v:stroke endarrow="block"/>
            </v:line>
            <v:line id="_x0000_s1528" style="position:absolute;flip:x y" from="3209,9994" to="3440,10179">
              <v:stroke endarrow="block"/>
            </v:line>
            <w10:wrap type="none"/>
            <w10:anchorlock/>
          </v:group>
        </w:pict>
      </w:r>
    </w:p>
    <w:p w:rsidR="00404448" w:rsidRDefault="00404448" w:rsidP="00404448">
      <w:pPr>
        <w:pStyle w:val="Caption"/>
      </w:pPr>
      <w:bookmarkStart w:id="225" w:name="_Ref205963471"/>
      <w:bookmarkStart w:id="226" w:name="_Toc322942271"/>
      <w:r>
        <w:t xml:space="preserve">Figure </w:t>
      </w:r>
      <w:fldSimple w:instr=" SEQ Figure \* ARABIC ">
        <w:r w:rsidR="000D2EB4">
          <w:rPr>
            <w:noProof/>
          </w:rPr>
          <w:t>41</w:t>
        </w:r>
      </w:fldSimple>
      <w:bookmarkEnd w:id="225"/>
      <w:r>
        <w:t>:</w:t>
      </w:r>
      <w:r w:rsidRPr="00EF2A62">
        <w:t xml:space="preserve"> </w:t>
      </w:r>
      <w:r>
        <w:t>End of Charge Injection rows, showing Undershoot and FGS Crosstalk examples, in a dark image collected during TVAC.  This image shows the largest undershoot observed when the CCD is cold, in channel 11.3.</w:t>
      </w:r>
      <w:bookmarkEnd w:id="226"/>
      <w:r>
        <w:br w:type="page"/>
      </w:r>
      <w:r w:rsidR="000518AB">
        <w:rPr>
          <w:noProof/>
        </w:rPr>
        <w:drawing>
          <wp:inline distT="0" distB="0" distL="0" distR="0">
            <wp:extent cx="5486400" cy="5649595"/>
            <wp:effectExtent l="0" t="0" r="0" b="0"/>
            <wp:docPr id="45" name="O 2"/>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890311" cy="6068114"/>
                      <a:chOff x="560596" y="538163"/>
                      <a:chExt cx="5890311" cy="6068114"/>
                    </a:xfrm>
                  </a:grpSpPr>
                  <a:grpSp>
                    <a:nvGrpSpPr>
                      <a:cNvPr id="33" name="Group 32"/>
                      <a:cNvGrpSpPr/>
                    </a:nvGrpSpPr>
                    <a:grpSpPr>
                      <a:xfrm>
                        <a:off x="560596" y="538163"/>
                        <a:ext cx="5890311" cy="6068114"/>
                        <a:chOff x="560596" y="538163"/>
                        <a:chExt cx="5890311" cy="6068114"/>
                      </a:xfrm>
                    </a:grpSpPr>
                    <a:pic>
                      <a:nvPicPr>
                        <a:cNvPr id="31747" name="Picture 8" descr="undershoot_stellar_ch11.3.tiff"/>
                        <a:cNvPicPr>
                          <a:picLocks noChangeAspect="1"/>
                        </a:cNvPicPr>
                      </a:nvPicPr>
                      <a:blipFill>
                        <a:blip r:embed="rId75"/>
                        <a:srcRect/>
                        <a:stretch>
                          <a:fillRect/>
                        </a:stretch>
                      </a:blipFill>
                      <a:spPr bwMode="auto">
                        <a:xfrm>
                          <a:off x="1982788" y="538163"/>
                          <a:ext cx="3716857" cy="5640387"/>
                        </a:xfrm>
                        <a:prstGeom prst="rect">
                          <a:avLst/>
                        </a:prstGeom>
                        <a:noFill/>
                        <a:ln w="9525">
                          <a:noFill/>
                          <a:miter lim="800000"/>
                          <a:headEnd/>
                          <a:tailEnd/>
                        </a:ln>
                      </a:spPr>
                    </a:pic>
                    <a:sp>
                      <a:nvSpPr>
                        <a:cNvPr id="31748" name="TextBox 2"/>
                        <a:cNvSpPr txBox="1">
                          <a:spLocks noChangeArrowheads="1"/>
                        </a:cNvSpPr>
                      </a:nvSpPr>
                      <a:spPr bwMode="auto">
                        <a:xfrm rot="16200000">
                          <a:off x="5113643" y="3872081"/>
                          <a:ext cx="1935864" cy="738664"/>
                        </a:xfrm>
                        <a:prstGeom prst="rect">
                          <a:avLst/>
                        </a:prstGeom>
                        <a:noFill/>
                        <a:ln w="9525">
                          <a:noFill/>
                          <a:miter lim="800000"/>
                          <a:headEnd/>
                          <a:tailEnd/>
                        </a:ln>
                      </a:spPr>
                      <a:txSp>
                        <a:txBody>
                          <a:bodyPr>
                            <a:prstTxWarp prst="textNoShape">
                              <a:avLst/>
                            </a:prstTxWarp>
                            <a:spAutoFit/>
                          </a:bodyPr>
                          <a:lstStyle>
                            <a:defPPr>
                              <a:defRPr lang="en-US"/>
                            </a:defPPr>
                            <a:lvl1pPr algn="l" rtl="0" eaLnBrk="0" fontAlgn="base" hangingPunct="0">
                              <a:spcBef>
                                <a:spcPct val="0"/>
                              </a:spcBef>
                              <a:spcAft>
                                <a:spcPct val="0"/>
                              </a:spcAft>
                              <a:defRPr kern="1200">
                                <a:solidFill>
                                  <a:schemeClr val="tx1"/>
                                </a:solidFill>
                                <a:latin typeface="Arial" pitchFamily="-65" charset="0"/>
                                <a:ea typeface="+mn-ea"/>
                                <a:cs typeface="+mn-cs"/>
                              </a:defRPr>
                            </a:lvl1pPr>
                            <a:lvl2pPr marL="457200" algn="l" rtl="0" eaLnBrk="0" fontAlgn="base" hangingPunct="0">
                              <a:spcBef>
                                <a:spcPct val="0"/>
                              </a:spcBef>
                              <a:spcAft>
                                <a:spcPct val="0"/>
                              </a:spcAft>
                              <a:defRPr kern="1200">
                                <a:solidFill>
                                  <a:schemeClr val="tx1"/>
                                </a:solidFill>
                                <a:latin typeface="Arial" pitchFamily="-65" charset="0"/>
                                <a:ea typeface="+mn-ea"/>
                                <a:cs typeface="+mn-cs"/>
                              </a:defRPr>
                            </a:lvl2pPr>
                            <a:lvl3pPr marL="914400" algn="l" rtl="0" eaLnBrk="0" fontAlgn="base" hangingPunct="0">
                              <a:spcBef>
                                <a:spcPct val="0"/>
                              </a:spcBef>
                              <a:spcAft>
                                <a:spcPct val="0"/>
                              </a:spcAft>
                              <a:defRPr kern="1200">
                                <a:solidFill>
                                  <a:schemeClr val="tx1"/>
                                </a:solidFill>
                                <a:latin typeface="Arial" pitchFamily="-65" charset="0"/>
                                <a:ea typeface="+mn-ea"/>
                                <a:cs typeface="+mn-cs"/>
                              </a:defRPr>
                            </a:lvl3pPr>
                            <a:lvl4pPr marL="1371600" algn="l" rtl="0" eaLnBrk="0" fontAlgn="base" hangingPunct="0">
                              <a:spcBef>
                                <a:spcPct val="0"/>
                              </a:spcBef>
                              <a:spcAft>
                                <a:spcPct val="0"/>
                              </a:spcAft>
                              <a:defRPr kern="1200">
                                <a:solidFill>
                                  <a:schemeClr val="tx1"/>
                                </a:solidFill>
                                <a:latin typeface="Arial" pitchFamily="-65" charset="0"/>
                                <a:ea typeface="+mn-ea"/>
                                <a:cs typeface="+mn-cs"/>
                              </a:defRPr>
                            </a:lvl4pPr>
                            <a:lvl5pPr marL="1828800" algn="l" rtl="0" eaLnBrk="0" fontAlgn="base" hangingPunct="0">
                              <a:spcBef>
                                <a:spcPct val="0"/>
                              </a:spcBef>
                              <a:spcAft>
                                <a:spcPct val="0"/>
                              </a:spcAft>
                              <a:defRPr kern="1200">
                                <a:solidFill>
                                  <a:schemeClr val="tx1"/>
                                </a:solidFill>
                                <a:latin typeface="Arial" pitchFamily="-65" charset="0"/>
                                <a:ea typeface="+mn-ea"/>
                                <a:cs typeface="+mn-cs"/>
                              </a:defRPr>
                            </a:lvl5pPr>
                            <a:lvl6pPr marL="2286000" algn="l" defTabSz="457200" rtl="0" eaLnBrk="1" latinLnBrk="0" hangingPunct="1">
                              <a:defRPr kern="1200">
                                <a:solidFill>
                                  <a:schemeClr val="tx1"/>
                                </a:solidFill>
                                <a:latin typeface="Arial" pitchFamily="-65" charset="0"/>
                                <a:ea typeface="+mn-ea"/>
                                <a:cs typeface="+mn-cs"/>
                              </a:defRPr>
                            </a:lvl6pPr>
                            <a:lvl7pPr marL="2743200" algn="l" defTabSz="457200" rtl="0" eaLnBrk="1" latinLnBrk="0" hangingPunct="1">
                              <a:defRPr kern="1200">
                                <a:solidFill>
                                  <a:schemeClr val="tx1"/>
                                </a:solidFill>
                                <a:latin typeface="Arial" pitchFamily="-65" charset="0"/>
                                <a:ea typeface="+mn-ea"/>
                                <a:cs typeface="+mn-cs"/>
                              </a:defRPr>
                            </a:lvl7pPr>
                            <a:lvl8pPr marL="3200400" algn="l" defTabSz="457200" rtl="0" eaLnBrk="1" latinLnBrk="0" hangingPunct="1">
                              <a:defRPr kern="1200">
                                <a:solidFill>
                                  <a:schemeClr val="tx1"/>
                                </a:solidFill>
                                <a:latin typeface="Arial" pitchFamily="-65" charset="0"/>
                                <a:ea typeface="+mn-ea"/>
                                <a:cs typeface="+mn-cs"/>
                              </a:defRPr>
                            </a:lvl8pPr>
                            <a:lvl9pPr marL="3657600" algn="l" defTabSz="457200" rtl="0" eaLnBrk="1" latinLnBrk="0" hangingPunct="1">
                              <a:defRPr kern="1200">
                                <a:solidFill>
                                  <a:schemeClr val="tx1"/>
                                </a:solidFill>
                                <a:latin typeface="Arial" pitchFamily="-65" charset="0"/>
                                <a:ea typeface="+mn-ea"/>
                                <a:cs typeface="+mn-cs"/>
                              </a:defRPr>
                            </a:lvl9pPr>
                          </a:lstStyle>
                          <a:p>
                            <a:r>
                              <a:rPr lang="en-US" sz="1400" dirty="0"/>
                              <a:t>Range of bleeding in rightmost bleeding </a:t>
                            </a:r>
                            <a:r>
                              <a:rPr lang="en-US" sz="1400" dirty="0" smtClean="0"/>
                              <a:t>column </a:t>
                            </a:r>
                            <a:endParaRPr lang="en-US" sz="1400" dirty="0"/>
                          </a:p>
                        </a:txBody>
                        <a:useSpRect/>
                      </a:txSp>
                    </a:sp>
                    <a:cxnSp>
                      <a:nvCxnSpPr>
                        <a:cNvPr id="31749" name="Straight Connector 4"/>
                        <a:cNvCxnSpPr>
                          <a:cxnSpLocks noChangeShapeType="1"/>
                        </a:cNvCxnSpPr>
                      </a:nvCxnSpPr>
                      <a:spPr bwMode="auto">
                        <a:xfrm rot="10800000" flipV="1">
                          <a:off x="3966021" y="3310885"/>
                          <a:ext cx="1896032" cy="10083"/>
                        </a:xfrm>
                        <a:prstGeom prst="line">
                          <a:avLst/>
                        </a:prstGeom>
                        <a:noFill/>
                        <a:ln w="9525">
                          <a:solidFill>
                            <a:srgbClr val="00FF00"/>
                          </a:solidFill>
                          <a:round/>
                          <a:headEnd/>
                          <a:tailEnd type="triangle" w="med" len="med"/>
                        </a:ln>
                      </a:spPr>
                    </a:cxnSp>
                    <a:cxnSp>
                      <a:nvCxnSpPr>
                        <a:cNvPr id="31750" name="Straight Connector 5"/>
                        <a:cNvCxnSpPr>
                          <a:cxnSpLocks noChangeShapeType="1"/>
                        </a:cNvCxnSpPr>
                      </a:nvCxnSpPr>
                      <a:spPr bwMode="auto">
                        <a:xfrm rot="10800000" flipV="1">
                          <a:off x="3969258" y="5149142"/>
                          <a:ext cx="1896032" cy="10083"/>
                        </a:xfrm>
                        <a:prstGeom prst="line">
                          <a:avLst/>
                        </a:prstGeom>
                        <a:noFill/>
                        <a:ln w="9525">
                          <a:solidFill>
                            <a:srgbClr val="00FF00"/>
                          </a:solidFill>
                          <a:round/>
                          <a:headEnd/>
                          <a:tailEnd type="triangle" w="med" len="med"/>
                        </a:ln>
                      </a:spPr>
                    </a:cxnSp>
                    <a:cxnSp>
                      <a:nvCxnSpPr>
                        <a:cNvPr id="8" name="Straight Connector 7"/>
                        <a:cNvCxnSpPr/>
                      </a:nvCxnSpPr>
                      <a:spPr bwMode="auto">
                        <a:xfrm>
                          <a:off x="1555939" y="5309050"/>
                          <a:ext cx="1864838" cy="320374"/>
                        </a:xfrm>
                        <a:prstGeom prst="line">
                          <a:avLst/>
                        </a:prstGeom>
                        <a:solidFill>
                          <a:schemeClr val="accent1"/>
                        </a:solidFill>
                        <a:ln w="9525" cap="flat" cmpd="sng" algn="ctr">
                          <a:solidFill>
                            <a:srgbClr val="00FF00"/>
                          </a:solidFill>
                          <a:prstDash val="solid"/>
                          <a:round/>
                          <a:headEnd type="none" w="med" len="med"/>
                          <a:tailEnd type="triangle" w="med" len="med"/>
                        </a:ln>
                        <a:effectLst/>
                      </a:spPr>
                    </a:cxnSp>
                    <a:cxnSp>
                      <a:nvCxnSpPr>
                        <a:cNvPr id="10" name="Straight Connector 9"/>
                        <a:cNvCxnSpPr/>
                      </a:nvCxnSpPr>
                      <a:spPr bwMode="auto">
                        <a:xfrm>
                          <a:off x="1567379" y="5297608"/>
                          <a:ext cx="1796194" cy="1588"/>
                        </a:xfrm>
                        <a:prstGeom prst="line">
                          <a:avLst/>
                        </a:prstGeom>
                        <a:solidFill>
                          <a:schemeClr val="accent1"/>
                        </a:solidFill>
                        <a:ln w="9525" cap="flat" cmpd="sng" algn="ctr">
                          <a:solidFill>
                            <a:srgbClr val="00FF00"/>
                          </a:solidFill>
                          <a:prstDash val="solid"/>
                          <a:round/>
                          <a:headEnd type="none" w="med" len="med"/>
                          <a:tailEnd type="triangle" w="med" len="med"/>
                        </a:ln>
                        <a:effectLst/>
                      </a:spPr>
                    </a:cxnSp>
                    <a:sp>
                      <a:nvSpPr>
                        <a:cNvPr id="11" name="TextBox 10"/>
                        <a:cNvSpPr txBox="1"/>
                      </a:nvSpPr>
                      <a:spPr>
                        <a:xfrm>
                          <a:off x="720766" y="4759838"/>
                          <a:ext cx="1109750" cy="1169551"/>
                        </a:xfrm>
                        <a:prstGeom prst="rect">
                          <a:avLst/>
                        </a:prstGeom>
                        <a:noFill/>
                      </a:spPr>
                      <a:txSp>
                        <a:txBody>
                          <a:bodyPr wrap="square" rtlCol="0">
                            <a:spAutoFit/>
                          </a:bodyPr>
                          <a:lstStyle>
                            <a:defPPr>
                              <a:defRPr lang="en-US"/>
                            </a:defPPr>
                            <a:lvl1pPr algn="l" rtl="0" eaLnBrk="0" fontAlgn="base" hangingPunct="0">
                              <a:spcBef>
                                <a:spcPct val="0"/>
                              </a:spcBef>
                              <a:spcAft>
                                <a:spcPct val="0"/>
                              </a:spcAft>
                              <a:defRPr kern="1200">
                                <a:solidFill>
                                  <a:schemeClr val="tx1"/>
                                </a:solidFill>
                                <a:latin typeface="Arial" pitchFamily="-65" charset="0"/>
                                <a:ea typeface="+mn-ea"/>
                                <a:cs typeface="+mn-cs"/>
                              </a:defRPr>
                            </a:lvl1pPr>
                            <a:lvl2pPr marL="457200" algn="l" rtl="0" eaLnBrk="0" fontAlgn="base" hangingPunct="0">
                              <a:spcBef>
                                <a:spcPct val="0"/>
                              </a:spcBef>
                              <a:spcAft>
                                <a:spcPct val="0"/>
                              </a:spcAft>
                              <a:defRPr kern="1200">
                                <a:solidFill>
                                  <a:schemeClr val="tx1"/>
                                </a:solidFill>
                                <a:latin typeface="Arial" pitchFamily="-65" charset="0"/>
                                <a:ea typeface="+mn-ea"/>
                                <a:cs typeface="+mn-cs"/>
                              </a:defRPr>
                            </a:lvl2pPr>
                            <a:lvl3pPr marL="914400" algn="l" rtl="0" eaLnBrk="0" fontAlgn="base" hangingPunct="0">
                              <a:spcBef>
                                <a:spcPct val="0"/>
                              </a:spcBef>
                              <a:spcAft>
                                <a:spcPct val="0"/>
                              </a:spcAft>
                              <a:defRPr kern="1200">
                                <a:solidFill>
                                  <a:schemeClr val="tx1"/>
                                </a:solidFill>
                                <a:latin typeface="Arial" pitchFamily="-65" charset="0"/>
                                <a:ea typeface="+mn-ea"/>
                                <a:cs typeface="+mn-cs"/>
                              </a:defRPr>
                            </a:lvl3pPr>
                            <a:lvl4pPr marL="1371600" algn="l" rtl="0" eaLnBrk="0" fontAlgn="base" hangingPunct="0">
                              <a:spcBef>
                                <a:spcPct val="0"/>
                              </a:spcBef>
                              <a:spcAft>
                                <a:spcPct val="0"/>
                              </a:spcAft>
                              <a:defRPr kern="1200">
                                <a:solidFill>
                                  <a:schemeClr val="tx1"/>
                                </a:solidFill>
                                <a:latin typeface="Arial" pitchFamily="-65" charset="0"/>
                                <a:ea typeface="+mn-ea"/>
                                <a:cs typeface="+mn-cs"/>
                              </a:defRPr>
                            </a:lvl4pPr>
                            <a:lvl5pPr marL="1828800" algn="l" rtl="0" eaLnBrk="0" fontAlgn="base" hangingPunct="0">
                              <a:spcBef>
                                <a:spcPct val="0"/>
                              </a:spcBef>
                              <a:spcAft>
                                <a:spcPct val="0"/>
                              </a:spcAft>
                              <a:defRPr kern="1200">
                                <a:solidFill>
                                  <a:schemeClr val="tx1"/>
                                </a:solidFill>
                                <a:latin typeface="Arial" pitchFamily="-65" charset="0"/>
                                <a:ea typeface="+mn-ea"/>
                                <a:cs typeface="+mn-cs"/>
                              </a:defRPr>
                            </a:lvl5pPr>
                            <a:lvl6pPr marL="2286000" algn="l" defTabSz="457200" rtl="0" eaLnBrk="1" latinLnBrk="0" hangingPunct="1">
                              <a:defRPr kern="1200">
                                <a:solidFill>
                                  <a:schemeClr val="tx1"/>
                                </a:solidFill>
                                <a:latin typeface="Arial" pitchFamily="-65" charset="0"/>
                                <a:ea typeface="+mn-ea"/>
                                <a:cs typeface="+mn-cs"/>
                              </a:defRPr>
                            </a:lvl6pPr>
                            <a:lvl7pPr marL="2743200" algn="l" defTabSz="457200" rtl="0" eaLnBrk="1" latinLnBrk="0" hangingPunct="1">
                              <a:defRPr kern="1200">
                                <a:solidFill>
                                  <a:schemeClr val="tx1"/>
                                </a:solidFill>
                                <a:latin typeface="Arial" pitchFamily="-65" charset="0"/>
                                <a:ea typeface="+mn-ea"/>
                                <a:cs typeface="+mn-cs"/>
                              </a:defRPr>
                            </a:lvl7pPr>
                            <a:lvl8pPr marL="3200400" algn="l" defTabSz="457200" rtl="0" eaLnBrk="1" latinLnBrk="0" hangingPunct="1">
                              <a:defRPr kern="1200">
                                <a:solidFill>
                                  <a:schemeClr val="tx1"/>
                                </a:solidFill>
                                <a:latin typeface="Arial" pitchFamily="-65" charset="0"/>
                                <a:ea typeface="+mn-ea"/>
                                <a:cs typeface="+mn-cs"/>
                              </a:defRPr>
                            </a:lvl8pPr>
                            <a:lvl9pPr marL="3657600" algn="l" defTabSz="457200" rtl="0" eaLnBrk="1" latinLnBrk="0" hangingPunct="1">
                              <a:defRPr kern="1200">
                                <a:solidFill>
                                  <a:schemeClr val="tx1"/>
                                </a:solidFill>
                                <a:latin typeface="Arial" pitchFamily="-65" charset="0"/>
                                <a:ea typeface="+mn-ea"/>
                                <a:cs typeface="+mn-cs"/>
                              </a:defRPr>
                            </a:lvl9pPr>
                          </a:lstStyle>
                          <a:p>
                            <a:r>
                              <a:rPr lang="en-US" sz="1400" dirty="0" smtClean="0"/>
                              <a:t>Examples of FGS Parallel Transfer crosstalk</a:t>
                            </a:r>
                            <a:endParaRPr lang="en-US" sz="1400" dirty="0"/>
                          </a:p>
                        </a:txBody>
                        <a:useSpRect/>
                      </a:txSp>
                    </a:sp>
                    <a:cxnSp>
                      <a:nvCxnSpPr>
                        <a:cNvPr id="13" name="Straight Connector 12"/>
                        <a:cNvCxnSpPr/>
                      </a:nvCxnSpPr>
                      <a:spPr bwMode="auto">
                        <a:xfrm>
                          <a:off x="1578820" y="3821601"/>
                          <a:ext cx="1796194" cy="22884"/>
                        </a:xfrm>
                        <a:prstGeom prst="line">
                          <a:avLst/>
                        </a:prstGeom>
                        <a:solidFill>
                          <a:schemeClr val="accent1"/>
                        </a:solidFill>
                        <a:ln w="9525" cap="flat" cmpd="sng" algn="ctr">
                          <a:solidFill>
                            <a:srgbClr val="00FF00"/>
                          </a:solidFill>
                          <a:prstDash val="solid"/>
                          <a:round/>
                          <a:headEnd type="none" w="med" len="med"/>
                          <a:tailEnd type="triangle" w="med" len="med"/>
                        </a:ln>
                        <a:effectLst/>
                      </a:spPr>
                    </a:cxnSp>
                    <a:sp>
                      <a:nvSpPr>
                        <a:cNvPr id="14" name="TextBox 13"/>
                        <a:cNvSpPr txBox="1"/>
                      </a:nvSpPr>
                      <a:spPr>
                        <a:xfrm>
                          <a:off x="560596" y="3444018"/>
                          <a:ext cx="1086869" cy="738664"/>
                        </a:xfrm>
                        <a:prstGeom prst="rect">
                          <a:avLst/>
                        </a:prstGeom>
                        <a:noFill/>
                      </a:spPr>
                      <a:txSp>
                        <a:txBody>
                          <a:bodyPr wrap="square" rtlCol="0">
                            <a:spAutoFit/>
                          </a:bodyPr>
                          <a:lstStyle>
                            <a:defPPr>
                              <a:defRPr lang="en-US"/>
                            </a:defPPr>
                            <a:lvl1pPr algn="l" rtl="0" eaLnBrk="0" fontAlgn="base" hangingPunct="0">
                              <a:spcBef>
                                <a:spcPct val="0"/>
                              </a:spcBef>
                              <a:spcAft>
                                <a:spcPct val="0"/>
                              </a:spcAft>
                              <a:defRPr kern="1200">
                                <a:solidFill>
                                  <a:schemeClr val="tx1"/>
                                </a:solidFill>
                                <a:latin typeface="Arial" pitchFamily="-65" charset="0"/>
                                <a:ea typeface="+mn-ea"/>
                                <a:cs typeface="+mn-cs"/>
                              </a:defRPr>
                            </a:lvl1pPr>
                            <a:lvl2pPr marL="457200" algn="l" rtl="0" eaLnBrk="0" fontAlgn="base" hangingPunct="0">
                              <a:spcBef>
                                <a:spcPct val="0"/>
                              </a:spcBef>
                              <a:spcAft>
                                <a:spcPct val="0"/>
                              </a:spcAft>
                              <a:defRPr kern="1200">
                                <a:solidFill>
                                  <a:schemeClr val="tx1"/>
                                </a:solidFill>
                                <a:latin typeface="Arial" pitchFamily="-65" charset="0"/>
                                <a:ea typeface="+mn-ea"/>
                                <a:cs typeface="+mn-cs"/>
                              </a:defRPr>
                            </a:lvl2pPr>
                            <a:lvl3pPr marL="914400" algn="l" rtl="0" eaLnBrk="0" fontAlgn="base" hangingPunct="0">
                              <a:spcBef>
                                <a:spcPct val="0"/>
                              </a:spcBef>
                              <a:spcAft>
                                <a:spcPct val="0"/>
                              </a:spcAft>
                              <a:defRPr kern="1200">
                                <a:solidFill>
                                  <a:schemeClr val="tx1"/>
                                </a:solidFill>
                                <a:latin typeface="Arial" pitchFamily="-65" charset="0"/>
                                <a:ea typeface="+mn-ea"/>
                                <a:cs typeface="+mn-cs"/>
                              </a:defRPr>
                            </a:lvl3pPr>
                            <a:lvl4pPr marL="1371600" algn="l" rtl="0" eaLnBrk="0" fontAlgn="base" hangingPunct="0">
                              <a:spcBef>
                                <a:spcPct val="0"/>
                              </a:spcBef>
                              <a:spcAft>
                                <a:spcPct val="0"/>
                              </a:spcAft>
                              <a:defRPr kern="1200">
                                <a:solidFill>
                                  <a:schemeClr val="tx1"/>
                                </a:solidFill>
                                <a:latin typeface="Arial" pitchFamily="-65" charset="0"/>
                                <a:ea typeface="+mn-ea"/>
                                <a:cs typeface="+mn-cs"/>
                              </a:defRPr>
                            </a:lvl4pPr>
                            <a:lvl5pPr marL="1828800" algn="l" rtl="0" eaLnBrk="0" fontAlgn="base" hangingPunct="0">
                              <a:spcBef>
                                <a:spcPct val="0"/>
                              </a:spcBef>
                              <a:spcAft>
                                <a:spcPct val="0"/>
                              </a:spcAft>
                              <a:defRPr kern="1200">
                                <a:solidFill>
                                  <a:schemeClr val="tx1"/>
                                </a:solidFill>
                                <a:latin typeface="Arial" pitchFamily="-65" charset="0"/>
                                <a:ea typeface="+mn-ea"/>
                                <a:cs typeface="+mn-cs"/>
                              </a:defRPr>
                            </a:lvl5pPr>
                            <a:lvl6pPr marL="2286000" algn="l" defTabSz="457200" rtl="0" eaLnBrk="1" latinLnBrk="0" hangingPunct="1">
                              <a:defRPr kern="1200">
                                <a:solidFill>
                                  <a:schemeClr val="tx1"/>
                                </a:solidFill>
                                <a:latin typeface="Arial" pitchFamily="-65" charset="0"/>
                                <a:ea typeface="+mn-ea"/>
                                <a:cs typeface="+mn-cs"/>
                              </a:defRPr>
                            </a:lvl6pPr>
                            <a:lvl7pPr marL="2743200" algn="l" defTabSz="457200" rtl="0" eaLnBrk="1" latinLnBrk="0" hangingPunct="1">
                              <a:defRPr kern="1200">
                                <a:solidFill>
                                  <a:schemeClr val="tx1"/>
                                </a:solidFill>
                                <a:latin typeface="Arial" pitchFamily="-65" charset="0"/>
                                <a:ea typeface="+mn-ea"/>
                                <a:cs typeface="+mn-cs"/>
                              </a:defRPr>
                            </a:lvl7pPr>
                            <a:lvl8pPr marL="3200400" algn="l" defTabSz="457200" rtl="0" eaLnBrk="1" latinLnBrk="0" hangingPunct="1">
                              <a:defRPr kern="1200">
                                <a:solidFill>
                                  <a:schemeClr val="tx1"/>
                                </a:solidFill>
                                <a:latin typeface="Arial" pitchFamily="-65" charset="0"/>
                                <a:ea typeface="+mn-ea"/>
                                <a:cs typeface="+mn-cs"/>
                              </a:defRPr>
                            </a:lvl8pPr>
                            <a:lvl9pPr marL="3657600" algn="l" defTabSz="457200" rtl="0" eaLnBrk="1" latinLnBrk="0" hangingPunct="1">
                              <a:defRPr kern="1200">
                                <a:solidFill>
                                  <a:schemeClr val="tx1"/>
                                </a:solidFill>
                                <a:latin typeface="Arial" pitchFamily="-65" charset="0"/>
                                <a:ea typeface="+mn-ea"/>
                                <a:cs typeface="+mn-cs"/>
                              </a:defRPr>
                            </a:lvl9pPr>
                          </a:lstStyle>
                          <a:p>
                            <a:r>
                              <a:rPr lang="en-US" sz="1400" dirty="0" smtClean="0"/>
                              <a:t>Example scattered light spike</a:t>
                            </a:r>
                            <a:endParaRPr lang="en-US" sz="1400" dirty="0"/>
                          </a:p>
                        </a:txBody>
                        <a:useSpRect/>
                      </a:txSp>
                    </a:sp>
                    <a:sp>
                      <a:nvSpPr>
                        <a:cNvPr id="15" name="TextBox 14"/>
                        <a:cNvSpPr txBox="1"/>
                      </a:nvSpPr>
                      <a:spPr>
                        <a:xfrm>
                          <a:off x="572036" y="2974899"/>
                          <a:ext cx="1322109" cy="307777"/>
                        </a:xfrm>
                        <a:prstGeom prst="rect">
                          <a:avLst/>
                        </a:prstGeom>
                        <a:noFill/>
                      </a:spPr>
                      <a:txSp>
                        <a:txBody>
                          <a:bodyPr wrap="none" rtlCol="0">
                            <a:spAutoFit/>
                          </a:bodyPr>
                          <a:lstStyle>
                            <a:defPPr>
                              <a:defRPr lang="en-US"/>
                            </a:defPPr>
                            <a:lvl1pPr algn="l" rtl="0" eaLnBrk="0" fontAlgn="base" hangingPunct="0">
                              <a:spcBef>
                                <a:spcPct val="0"/>
                              </a:spcBef>
                              <a:spcAft>
                                <a:spcPct val="0"/>
                              </a:spcAft>
                              <a:defRPr kern="1200">
                                <a:solidFill>
                                  <a:schemeClr val="tx1"/>
                                </a:solidFill>
                                <a:latin typeface="Arial" pitchFamily="-65" charset="0"/>
                                <a:ea typeface="+mn-ea"/>
                                <a:cs typeface="+mn-cs"/>
                              </a:defRPr>
                            </a:lvl1pPr>
                            <a:lvl2pPr marL="457200" algn="l" rtl="0" eaLnBrk="0" fontAlgn="base" hangingPunct="0">
                              <a:spcBef>
                                <a:spcPct val="0"/>
                              </a:spcBef>
                              <a:spcAft>
                                <a:spcPct val="0"/>
                              </a:spcAft>
                              <a:defRPr kern="1200">
                                <a:solidFill>
                                  <a:schemeClr val="tx1"/>
                                </a:solidFill>
                                <a:latin typeface="Arial" pitchFamily="-65" charset="0"/>
                                <a:ea typeface="+mn-ea"/>
                                <a:cs typeface="+mn-cs"/>
                              </a:defRPr>
                            </a:lvl2pPr>
                            <a:lvl3pPr marL="914400" algn="l" rtl="0" eaLnBrk="0" fontAlgn="base" hangingPunct="0">
                              <a:spcBef>
                                <a:spcPct val="0"/>
                              </a:spcBef>
                              <a:spcAft>
                                <a:spcPct val="0"/>
                              </a:spcAft>
                              <a:defRPr kern="1200">
                                <a:solidFill>
                                  <a:schemeClr val="tx1"/>
                                </a:solidFill>
                                <a:latin typeface="Arial" pitchFamily="-65" charset="0"/>
                                <a:ea typeface="+mn-ea"/>
                                <a:cs typeface="+mn-cs"/>
                              </a:defRPr>
                            </a:lvl3pPr>
                            <a:lvl4pPr marL="1371600" algn="l" rtl="0" eaLnBrk="0" fontAlgn="base" hangingPunct="0">
                              <a:spcBef>
                                <a:spcPct val="0"/>
                              </a:spcBef>
                              <a:spcAft>
                                <a:spcPct val="0"/>
                              </a:spcAft>
                              <a:defRPr kern="1200">
                                <a:solidFill>
                                  <a:schemeClr val="tx1"/>
                                </a:solidFill>
                                <a:latin typeface="Arial" pitchFamily="-65" charset="0"/>
                                <a:ea typeface="+mn-ea"/>
                                <a:cs typeface="+mn-cs"/>
                              </a:defRPr>
                            </a:lvl4pPr>
                            <a:lvl5pPr marL="1828800" algn="l" rtl="0" eaLnBrk="0" fontAlgn="base" hangingPunct="0">
                              <a:spcBef>
                                <a:spcPct val="0"/>
                              </a:spcBef>
                              <a:spcAft>
                                <a:spcPct val="0"/>
                              </a:spcAft>
                              <a:defRPr kern="1200">
                                <a:solidFill>
                                  <a:schemeClr val="tx1"/>
                                </a:solidFill>
                                <a:latin typeface="Arial" pitchFamily="-65" charset="0"/>
                                <a:ea typeface="+mn-ea"/>
                                <a:cs typeface="+mn-cs"/>
                              </a:defRPr>
                            </a:lvl5pPr>
                            <a:lvl6pPr marL="2286000" algn="l" defTabSz="457200" rtl="0" eaLnBrk="1" latinLnBrk="0" hangingPunct="1">
                              <a:defRPr kern="1200">
                                <a:solidFill>
                                  <a:schemeClr val="tx1"/>
                                </a:solidFill>
                                <a:latin typeface="Arial" pitchFamily="-65" charset="0"/>
                                <a:ea typeface="+mn-ea"/>
                                <a:cs typeface="+mn-cs"/>
                              </a:defRPr>
                            </a:lvl6pPr>
                            <a:lvl7pPr marL="2743200" algn="l" defTabSz="457200" rtl="0" eaLnBrk="1" latinLnBrk="0" hangingPunct="1">
                              <a:defRPr kern="1200">
                                <a:solidFill>
                                  <a:schemeClr val="tx1"/>
                                </a:solidFill>
                                <a:latin typeface="Arial" pitchFamily="-65" charset="0"/>
                                <a:ea typeface="+mn-ea"/>
                                <a:cs typeface="+mn-cs"/>
                              </a:defRPr>
                            </a:lvl7pPr>
                            <a:lvl8pPr marL="3200400" algn="l" defTabSz="457200" rtl="0" eaLnBrk="1" latinLnBrk="0" hangingPunct="1">
                              <a:defRPr kern="1200">
                                <a:solidFill>
                                  <a:schemeClr val="tx1"/>
                                </a:solidFill>
                                <a:latin typeface="Arial" pitchFamily="-65" charset="0"/>
                                <a:ea typeface="+mn-ea"/>
                                <a:cs typeface="+mn-cs"/>
                              </a:defRPr>
                            </a:lvl8pPr>
                            <a:lvl9pPr marL="3657600" algn="l" defTabSz="457200" rtl="0" eaLnBrk="1" latinLnBrk="0" hangingPunct="1">
                              <a:defRPr kern="1200">
                                <a:solidFill>
                                  <a:schemeClr val="tx1"/>
                                </a:solidFill>
                                <a:latin typeface="Arial" pitchFamily="-65" charset="0"/>
                                <a:ea typeface="+mn-ea"/>
                                <a:cs typeface="+mn-cs"/>
                              </a:defRPr>
                            </a:lvl9pPr>
                          </a:lstStyle>
                          <a:p>
                            <a:r>
                              <a:rPr lang="en-US" sz="1400" dirty="0" smtClean="0"/>
                              <a:t>Example stars</a:t>
                            </a:r>
                            <a:endParaRPr lang="en-US" sz="1400" dirty="0"/>
                          </a:p>
                        </a:txBody>
                        <a:useSpRect/>
                      </a:txSp>
                    </a:sp>
                    <a:cxnSp>
                      <a:nvCxnSpPr>
                        <a:cNvPr id="19" name="Straight Connector 18"/>
                        <a:cNvCxnSpPr>
                          <a:stCxn id="15" idx="3"/>
                        </a:cNvCxnSpPr>
                      </a:nvCxnSpPr>
                      <a:spPr bwMode="auto">
                        <a:xfrm flipV="1">
                          <a:off x="1894145" y="2860480"/>
                          <a:ext cx="382559" cy="268308"/>
                        </a:xfrm>
                        <a:prstGeom prst="line">
                          <a:avLst/>
                        </a:prstGeom>
                        <a:solidFill>
                          <a:schemeClr val="accent1"/>
                        </a:solidFill>
                        <a:ln w="9525" cap="flat" cmpd="sng" algn="ctr">
                          <a:solidFill>
                            <a:srgbClr val="00FF00"/>
                          </a:solidFill>
                          <a:prstDash val="solid"/>
                          <a:round/>
                          <a:headEnd type="none" w="med" len="med"/>
                          <a:tailEnd type="triangle" w="med" len="med"/>
                        </a:ln>
                        <a:effectLst/>
                      </a:spPr>
                    </a:cxnSp>
                    <a:cxnSp>
                      <a:nvCxnSpPr>
                        <a:cNvPr id="21" name="Straight Connector 20"/>
                        <a:cNvCxnSpPr>
                          <a:stCxn id="15" idx="3"/>
                        </a:cNvCxnSpPr>
                      </a:nvCxnSpPr>
                      <a:spPr bwMode="auto">
                        <a:xfrm>
                          <a:off x="1894145" y="3128788"/>
                          <a:ext cx="1126207" cy="338113"/>
                        </a:xfrm>
                        <a:prstGeom prst="line">
                          <a:avLst/>
                        </a:prstGeom>
                        <a:solidFill>
                          <a:schemeClr val="accent1"/>
                        </a:solidFill>
                        <a:ln w="9525" cap="flat" cmpd="sng" algn="ctr">
                          <a:solidFill>
                            <a:srgbClr val="00FF00"/>
                          </a:solidFill>
                          <a:prstDash val="solid"/>
                          <a:round/>
                          <a:headEnd type="none" w="med" len="med"/>
                          <a:tailEnd type="triangle" w="med" len="med"/>
                        </a:ln>
                        <a:effectLst/>
                      </a:spPr>
                    </a:cxnSp>
                    <a:sp>
                      <a:nvSpPr>
                        <a:cNvPr id="22" name="TextBox 21"/>
                        <a:cNvSpPr txBox="1"/>
                      </a:nvSpPr>
                      <a:spPr>
                        <a:xfrm>
                          <a:off x="2974589" y="6298500"/>
                          <a:ext cx="2150273" cy="307777"/>
                        </a:xfrm>
                        <a:prstGeom prst="rect">
                          <a:avLst/>
                        </a:prstGeom>
                        <a:noFill/>
                      </a:spPr>
                      <a:txSp>
                        <a:txBody>
                          <a:bodyPr wrap="none" rtlCol="0">
                            <a:spAutoFit/>
                          </a:bodyPr>
                          <a:lstStyle>
                            <a:defPPr>
                              <a:defRPr lang="en-US"/>
                            </a:defPPr>
                            <a:lvl1pPr algn="l" rtl="0" eaLnBrk="0" fontAlgn="base" hangingPunct="0">
                              <a:spcBef>
                                <a:spcPct val="0"/>
                              </a:spcBef>
                              <a:spcAft>
                                <a:spcPct val="0"/>
                              </a:spcAft>
                              <a:defRPr kern="1200">
                                <a:solidFill>
                                  <a:schemeClr val="tx1"/>
                                </a:solidFill>
                                <a:latin typeface="Arial" pitchFamily="-65" charset="0"/>
                                <a:ea typeface="+mn-ea"/>
                                <a:cs typeface="+mn-cs"/>
                              </a:defRPr>
                            </a:lvl1pPr>
                            <a:lvl2pPr marL="457200" algn="l" rtl="0" eaLnBrk="0" fontAlgn="base" hangingPunct="0">
                              <a:spcBef>
                                <a:spcPct val="0"/>
                              </a:spcBef>
                              <a:spcAft>
                                <a:spcPct val="0"/>
                              </a:spcAft>
                              <a:defRPr kern="1200">
                                <a:solidFill>
                                  <a:schemeClr val="tx1"/>
                                </a:solidFill>
                                <a:latin typeface="Arial" pitchFamily="-65" charset="0"/>
                                <a:ea typeface="+mn-ea"/>
                                <a:cs typeface="+mn-cs"/>
                              </a:defRPr>
                            </a:lvl2pPr>
                            <a:lvl3pPr marL="914400" algn="l" rtl="0" eaLnBrk="0" fontAlgn="base" hangingPunct="0">
                              <a:spcBef>
                                <a:spcPct val="0"/>
                              </a:spcBef>
                              <a:spcAft>
                                <a:spcPct val="0"/>
                              </a:spcAft>
                              <a:defRPr kern="1200">
                                <a:solidFill>
                                  <a:schemeClr val="tx1"/>
                                </a:solidFill>
                                <a:latin typeface="Arial" pitchFamily="-65" charset="0"/>
                                <a:ea typeface="+mn-ea"/>
                                <a:cs typeface="+mn-cs"/>
                              </a:defRPr>
                            </a:lvl3pPr>
                            <a:lvl4pPr marL="1371600" algn="l" rtl="0" eaLnBrk="0" fontAlgn="base" hangingPunct="0">
                              <a:spcBef>
                                <a:spcPct val="0"/>
                              </a:spcBef>
                              <a:spcAft>
                                <a:spcPct val="0"/>
                              </a:spcAft>
                              <a:defRPr kern="1200">
                                <a:solidFill>
                                  <a:schemeClr val="tx1"/>
                                </a:solidFill>
                                <a:latin typeface="Arial" pitchFamily="-65" charset="0"/>
                                <a:ea typeface="+mn-ea"/>
                                <a:cs typeface="+mn-cs"/>
                              </a:defRPr>
                            </a:lvl4pPr>
                            <a:lvl5pPr marL="1828800" algn="l" rtl="0" eaLnBrk="0" fontAlgn="base" hangingPunct="0">
                              <a:spcBef>
                                <a:spcPct val="0"/>
                              </a:spcBef>
                              <a:spcAft>
                                <a:spcPct val="0"/>
                              </a:spcAft>
                              <a:defRPr kern="1200">
                                <a:solidFill>
                                  <a:schemeClr val="tx1"/>
                                </a:solidFill>
                                <a:latin typeface="Arial" pitchFamily="-65" charset="0"/>
                                <a:ea typeface="+mn-ea"/>
                                <a:cs typeface="+mn-cs"/>
                              </a:defRPr>
                            </a:lvl5pPr>
                            <a:lvl6pPr marL="2286000" algn="l" defTabSz="457200" rtl="0" eaLnBrk="1" latinLnBrk="0" hangingPunct="1">
                              <a:defRPr kern="1200">
                                <a:solidFill>
                                  <a:schemeClr val="tx1"/>
                                </a:solidFill>
                                <a:latin typeface="Arial" pitchFamily="-65" charset="0"/>
                                <a:ea typeface="+mn-ea"/>
                                <a:cs typeface="+mn-cs"/>
                              </a:defRPr>
                            </a:lvl6pPr>
                            <a:lvl7pPr marL="2743200" algn="l" defTabSz="457200" rtl="0" eaLnBrk="1" latinLnBrk="0" hangingPunct="1">
                              <a:defRPr kern="1200">
                                <a:solidFill>
                                  <a:schemeClr val="tx1"/>
                                </a:solidFill>
                                <a:latin typeface="Arial" pitchFamily="-65" charset="0"/>
                                <a:ea typeface="+mn-ea"/>
                                <a:cs typeface="+mn-cs"/>
                              </a:defRPr>
                            </a:lvl7pPr>
                            <a:lvl8pPr marL="3200400" algn="l" defTabSz="457200" rtl="0" eaLnBrk="1" latinLnBrk="0" hangingPunct="1">
                              <a:defRPr kern="1200">
                                <a:solidFill>
                                  <a:schemeClr val="tx1"/>
                                </a:solidFill>
                                <a:latin typeface="Arial" pitchFamily="-65" charset="0"/>
                                <a:ea typeface="+mn-ea"/>
                                <a:cs typeface="+mn-cs"/>
                              </a:defRPr>
                            </a:lvl8pPr>
                            <a:lvl9pPr marL="3657600" algn="l" defTabSz="457200" rtl="0" eaLnBrk="1" latinLnBrk="0" hangingPunct="1">
                              <a:defRPr kern="1200">
                                <a:solidFill>
                                  <a:schemeClr val="tx1"/>
                                </a:solidFill>
                                <a:latin typeface="Arial" pitchFamily="-65" charset="0"/>
                                <a:ea typeface="+mn-ea"/>
                                <a:cs typeface="+mn-cs"/>
                              </a:defRPr>
                            </a:lvl9pPr>
                          </a:lstStyle>
                          <a:p>
                            <a:r>
                              <a:rPr lang="en-US" sz="1400" dirty="0" smtClean="0"/>
                              <a:t>Example smear columns</a:t>
                            </a:r>
                            <a:endParaRPr lang="en-US" sz="1400" dirty="0"/>
                          </a:p>
                        </a:txBody>
                        <a:useSpRect/>
                      </a:txSp>
                    </a:sp>
                    <a:cxnSp>
                      <a:nvCxnSpPr>
                        <a:cNvPr id="26" name="Straight Connector 25"/>
                        <a:cNvCxnSpPr/>
                      </a:nvCxnSpPr>
                      <a:spPr bwMode="auto">
                        <a:xfrm rot="5400000" flipH="1" flipV="1">
                          <a:off x="3655283" y="6012729"/>
                          <a:ext cx="583537" cy="1588"/>
                        </a:xfrm>
                        <a:prstGeom prst="line">
                          <a:avLst/>
                        </a:prstGeom>
                        <a:solidFill>
                          <a:schemeClr val="accent1"/>
                        </a:solidFill>
                        <a:ln w="9525" cap="flat" cmpd="sng" algn="ctr">
                          <a:solidFill>
                            <a:srgbClr val="00FF00"/>
                          </a:solidFill>
                          <a:prstDash val="solid"/>
                          <a:round/>
                          <a:headEnd type="none" w="med" len="med"/>
                          <a:tailEnd type="triangle" w="med" len="med"/>
                        </a:ln>
                        <a:effectLst/>
                      </a:spPr>
                    </a:cxnSp>
                    <a:cxnSp>
                      <a:nvCxnSpPr>
                        <a:cNvPr id="28" name="Straight Connector 27"/>
                        <a:cNvCxnSpPr/>
                      </a:nvCxnSpPr>
                      <a:spPr bwMode="auto">
                        <a:xfrm flipV="1">
                          <a:off x="3912728" y="6007021"/>
                          <a:ext cx="1178395" cy="297476"/>
                        </a:xfrm>
                        <a:prstGeom prst="line">
                          <a:avLst/>
                        </a:prstGeom>
                        <a:solidFill>
                          <a:schemeClr val="accent1"/>
                        </a:solidFill>
                        <a:ln w="9525" cap="flat" cmpd="sng" algn="ctr">
                          <a:solidFill>
                            <a:srgbClr val="00FF00"/>
                          </a:solidFill>
                          <a:prstDash val="solid"/>
                          <a:round/>
                          <a:headEnd type="none" w="med" len="med"/>
                          <a:tailEnd type="triangle" w="med" len="med"/>
                        </a:ln>
                        <a:effectLst/>
                      </a:spPr>
                    </a:cxnSp>
                  </a:grpSp>
                </lc:lockedCanvas>
              </a:graphicData>
            </a:graphic>
          </wp:inline>
        </w:drawing>
      </w:r>
    </w:p>
    <w:p w:rsidR="00404448" w:rsidRPr="003C7459" w:rsidRDefault="00404448" w:rsidP="00404448">
      <w:pPr>
        <w:pStyle w:val="Caption"/>
      </w:pPr>
      <w:bookmarkStart w:id="227" w:name="_Ref105753204"/>
      <w:bookmarkStart w:id="228" w:name="_Toc322942272"/>
      <w:r>
        <w:t xml:space="preserve">Figure </w:t>
      </w:r>
      <w:fldSimple w:instr=" SEQ Figure \* ARABIC ">
        <w:r w:rsidR="000D2EB4">
          <w:rPr>
            <w:noProof/>
          </w:rPr>
          <w:t>42</w:t>
        </w:r>
      </w:fldSimple>
      <w:bookmarkEnd w:id="227"/>
      <w:r>
        <w:t>:  Undershoot adjacent to charge bleeding column in Channel 11.3.  Because of the sub-pixel location of the star, there is bleeding in two columns, with a greater extent in the rightmost bleeding column, for which the extent of bleeding is marked by green arrows.  The two colum</w:t>
      </w:r>
      <w:r w:rsidR="00EA611A">
        <w:t>n</w:t>
      </w:r>
      <w:r>
        <w:t>s to the right of the bleeding columns show the undershoot in black.  FGS Parallel Transfer crosstalk, 8-fold symmetric scattered light, stars, and smear are also visible in this image.</w:t>
      </w:r>
      <w:bookmarkEnd w:id="228"/>
    </w:p>
    <w:p w:rsidR="00404448" w:rsidRDefault="00404448" w:rsidP="00404448">
      <w:pPr>
        <w:pStyle w:val="Heading3"/>
      </w:pPr>
      <w:bookmarkStart w:id="229" w:name="_Ref205876557"/>
      <w:bookmarkStart w:id="230" w:name="_Toc322942206"/>
      <w:r>
        <w:t>Photometric Consequences</w:t>
      </w:r>
      <w:bookmarkEnd w:id="230"/>
    </w:p>
    <w:p w:rsidR="00404448" w:rsidRDefault="00C25872" w:rsidP="00404448">
      <w:r>
        <w:t xml:space="preserve">Undershoot </w:t>
      </w:r>
      <w:r w:rsidR="00404448">
        <w:t>corrupt</w:t>
      </w:r>
      <w:r>
        <w:t>s photometry because</w:t>
      </w:r>
      <w:r w:rsidR="00404448">
        <w:t>:</w:t>
      </w:r>
    </w:p>
    <w:p w:rsidR="00404448" w:rsidRDefault="00404448" w:rsidP="00404448">
      <w:pPr>
        <w:numPr>
          <w:ilvl w:val="0"/>
          <w:numId w:val="43"/>
        </w:numPr>
      </w:pPr>
      <w:r>
        <w:t>The amplitude and time constant</w:t>
      </w:r>
      <w:r w:rsidR="00100E30">
        <w:t>s change with time and</w:t>
      </w:r>
      <w:r>
        <w:t xml:space="preserve"> temperature.</w:t>
      </w:r>
    </w:p>
    <w:p w:rsidR="00404448" w:rsidRDefault="00404448" w:rsidP="00404448">
      <w:pPr>
        <w:numPr>
          <w:ilvl w:val="0"/>
          <w:numId w:val="43"/>
        </w:numPr>
      </w:pPr>
      <w:r>
        <w:t>The location of a source upstream of a target aperture changes as a result of pointing jitter and drift.</w:t>
      </w:r>
    </w:p>
    <w:p w:rsidR="00404448" w:rsidRPr="00876070" w:rsidRDefault="00404448" w:rsidP="00404448">
      <w:pPr>
        <w:numPr>
          <w:ilvl w:val="0"/>
          <w:numId w:val="43"/>
        </w:numPr>
      </w:pPr>
      <w:r>
        <w:t>The upstream source is time-variable, and that variability is carried into the target aperture in attenuated form.</w:t>
      </w:r>
    </w:p>
    <w:p w:rsidR="00404448" w:rsidRDefault="00404448" w:rsidP="00404448">
      <w:pPr>
        <w:pStyle w:val="Heading3"/>
      </w:pPr>
      <w:bookmarkStart w:id="231" w:name="_Toc322942207"/>
      <w:r>
        <w:t>Mitigation</w:t>
      </w:r>
      <w:bookmarkEnd w:id="231"/>
    </w:p>
    <w:p w:rsidR="00404448" w:rsidRPr="00876070" w:rsidRDefault="00404448" w:rsidP="00404448">
      <w:r>
        <w:t xml:space="preserve">The short and medium time scale components of the linearized model </w:t>
      </w:r>
      <w:r w:rsidR="00F6705A">
        <w:t xml:space="preserve">(KAM §2.3.5.10 and KADN-26197) </w:t>
      </w:r>
      <w:r>
        <w:t>can be made photometrically insignificant by monitoring thermal and secular variation in the Charge Injection region, and by including an extra column of pixels on the upstream edge of the target aperture to monitor variable upstream sources.</w:t>
      </w:r>
      <w:r w:rsidR="002F62E0">
        <w:t xml:space="preserve">  </w:t>
      </w:r>
      <w:r w:rsidR="001F4A21">
        <w:t>All p</w:t>
      </w:r>
      <w:r w:rsidR="002F62E0">
        <w:t xml:space="preserve">ipeline processing before Data Release 24 used a constant undershoot </w:t>
      </w:r>
      <w:r w:rsidR="005C4DB1">
        <w:t xml:space="preserve">FC </w:t>
      </w:r>
      <w:r w:rsidR="002F62E0">
        <w:t xml:space="preserve">model, which has been delivered to MAST (KAM §2.3.5.10). </w:t>
      </w:r>
      <w:r w:rsidR="001F1150">
        <w:t xml:space="preserve">Data Release 24 and later use a dynamically generated undershoot model as part of the overall dynamic black fit (Kolodziejczak </w:t>
      </w:r>
      <w:r w:rsidR="001F1150" w:rsidRPr="00AD3A41">
        <w:rPr>
          <w:i/>
        </w:rPr>
        <w:t>et al.</w:t>
      </w:r>
      <w:r w:rsidR="007C0F00">
        <w:t>, 2010)</w:t>
      </w:r>
      <w:r w:rsidR="001F1150" w:rsidRPr="001F1150">
        <w:t>.</w:t>
      </w:r>
      <w:r w:rsidR="001F1150">
        <w:t xml:space="preserve"> </w:t>
      </w:r>
    </w:p>
    <w:p w:rsidR="00404448" w:rsidRPr="00394F88" w:rsidRDefault="00404448" w:rsidP="00404448">
      <w:pPr>
        <w:pStyle w:val="Heading2"/>
        <w:rPr>
          <w:sz w:val="22"/>
        </w:rPr>
      </w:pPr>
      <w:bookmarkStart w:id="232" w:name="_Toc322942208"/>
      <w:bookmarkEnd w:id="229"/>
      <w:r w:rsidRPr="00394F88">
        <w:rPr>
          <w:sz w:val="22"/>
        </w:rPr>
        <w:t>Aliased High Frequency Noise</w:t>
      </w:r>
      <w:bookmarkEnd w:id="232"/>
    </w:p>
    <w:p w:rsidR="00404448" w:rsidRDefault="00404448" w:rsidP="00404448">
      <w:r>
        <w:t>The amplifier circuit used in the LDE is only marginally stable</w:t>
      </w:r>
      <w:r w:rsidR="000134D1">
        <w:t xml:space="preserve"> i</w:t>
      </w:r>
      <w:r>
        <w:t xml:space="preserve">n the GHz frequency range, </w:t>
      </w:r>
      <w:r w:rsidR="000134D1">
        <w:t xml:space="preserve">because </w:t>
      </w:r>
      <w:r>
        <w:t>the circuit self-resonates.  The amplitude and frequency of this resonance depends on:</w:t>
      </w:r>
    </w:p>
    <w:p w:rsidR="00404448" w:rsidRDefault="00404448" w:rsidP="00404448">
      <w:pPr>
        <w:numPr>
          <w:ilvl w:val="0"/>
          <w:numId w:val="44"/>
        </w:numPr>
      </w:pPr>
      <w:r>
        <w:t>LDE driver and acquisition board temperature</w:t>
      </w:r>
      <w:r w:rsidR="004373DF">
        <w:t>s</w:t>
      </w:r>
      <w:r w:rsidR="000134D1">
        <w:t>,</w:t>
      </w:r>
    </w:p>
    <w:p w:rsidR="00404448" w:rsidRDefault="00404448" w:rsidP="00404448">
      <w:pPr>
        <w:numPr>
          <w:ilvl w:val="0"/>
          <w:numId w:val="44"/>
        </w:numPr>
      </w:pPr>
      <w:r>
        <w:t>The amplifier temperature, which is not directly known</w:t>
      </w:r>
      <w:r w:rsidR="000134D1">
        <w:t>,</w:t>
      </w:r>
    </w:p>
    <w:p w:rsidR="00404448" w:rsidRDefault="00404448" w:rsidP="00404448">
      <w:pPr>
        <w:numPr>
          <w:ilvl w:val="0"/>
          <w:numId w:val="44"/>
        </w:numPr>
      </w:pPr>
      <w:r>
        <w:t>Time si</w:t>
      </w:r>
      <w:r w:rsidR="004373DF">
        <w:t>nce LDE turn</w:t>
      </w:r>
      <w:r>
        <w:t xml:space="preserve"> on, a distinct secular term in addition to the effects caused by temperature variation with time</w:t>
      </w:r>
      <w:r w:rsidR="000134D1">
        <w:t>,</w:t>
      </w:r>
      <w:r w:rsidR="004373DF">
        <w:t xml:space="preserve"> and</w:t>
      </w:r>
    </w:p>
    <w:p w:rsidR="00404448" w:rsidRDefault="000134D1" w:rsidP="00404448">
      <w:pPr>
        <w:numPr>
          <w:ilvl w:val="0"/>
          <w:numId w:val="44"/>
        </w:numPr>
      </w:pPr>
      <w:r>
        <w:t>Channel number.</w:t>
      </w:r>
    </w:p>
    <w:p w:rsidR="00404448" w:rsidRDefault="00404448" w:rsidP="00404448">
      <w:r>
        <w:t>The amplifier</w:t>
      </w:r>
      <w:r w:rsidR="004373DF">
        <w:t xml:space="preserve"> temperature increases with </w:t>
      </w:r>
      <w:r>
        <w:t xml:space="preserve">time after the amplifier is turned on, one FGS frame before readout begins, and also spikes in temperature when high signal levels are read.  Thus the GHz noise varies in frequency with row, and can appear in rows containing bright sources without appearing in rows more </w:t>
      </w:r>
      <w:r w:rsidR="00006E35">
        <w:t xml:space="preserve">distant than 20 rows </w:t>
      </w:r>
      <w:r>
        <w:t>from the bright source.  This GHz noise is aliased by the 3 MHz pixel sampl</w:t>
      </w:r>
      <w:r w:rsidR="00006E35">
        <w:t xml:space="preserve">ing rate of the LDE, and the summation </w:t>
      </w:r>
      <w:r>
        <w:t>over the 270 frames in a typical FFI or LC.</w:t>
      </w:r>
    </w:p>
    <w:p w:rsidR="00404448" w:rsidRPr="00AC7752" w:rsidRDefault="00404448" w:rsidP="00404448">
      <w:r>
        <w:t xml:space="preserve">Roughly 35 of the 84 channels have been afflicted with this problem at some </w:t>
      </w:r>
      <w:r w:rsidR="00EA3E34">
        <w:t>temperature or time.  However, the</w:t>
      </w:r>
      <w:r>
        <w:t xml:space="preserve"> relatively narrow band of </w:t>
      </w:r>
      <w:r w:rsidR="00EA3E34">
        <w:t xml:space="preserve">temperatures </w:t>
      </w:r>
      <w:r>
        <w:t>experience</w:t>
      </w:r>
      <w:r w:rsidR="00EA3E34">
        <w:t xml:space="preserve">d during science operations means that </w:t>
      </w:r>
      <w:r>
        <w:t xml:space="preserve">only 12 to 14 of the potentially troublesome channels show this problem at a photometrically significant level.  See </w:t>
      </w:r>
      <w:r w:rsidR="004C78B9">
        <w:fldChar w:fldCharType="begin"/>
      </w:r>
      <w:r w:rsidR="00C903B6">
        <w:instrText xml:space="preserve"> REF _Ref108511873 \h </w:instrText>
      </w:r>
      <w:r w:rsidR="004C78B9">
        <w:fldChar w:fldCharType="separate"/>
      </w:r>
      <w:r w:rsidR="000D2EB4">
        <w:t xml:space="preserve">Table </w:t>
      </w:r>
      <w:r w:rsidR="000D2EB4">
        <w:rPr>
          <w:noProof/>
        </w:rPr>
        <w:t>13</w:t>
      </w:r>
      <w:r w:rsidR="004C78B9">
        <w:fldChar w:fldCharType="end"/>
      </w:r>
      <w:r>
        <w:t xml:space="preserve"> f</w:t>
      </w:r>
      <w:r w:rsidR="00180370">
        <w:t>or a list of afflicted channels and KAM §2.3.1, §2.3.2, and §2.3.7 for flagging of afflicted archive data.</w:t>
      </w:r>
    </w:p>
    <w:p w:rsidR="00404448" w:rsidRDefault="00404448" w:rsidP="00404448">
      <w:pPr>
        <w:pStyle w:val="Heading3"/>
      </w:pPr>
      <w:bookmarkStart w:id="233" w:name="_Toc322942209"/>
      <w:r>
        <w:t>Aliased to near-Zero Spatial Frequency:  Rolling Bands</w:t>
      </w:r>
      <w:bookmarkEnd w:id="233"/>
    </w:p>
    <w:p w:rsidR="00404448" w:rsidRDefault="00404448" w:rsidP="00404448">
      <w:pPr>
        <w:pStyle w:val="Caption"/>
        <w:rPr>
          <w:b w:val="0"/>
        </w:rPr>
      </w:pPr>
      <w:bookmarkStart w:id="234" w:name="_Ref205880784"/>
      <w:r>
        <w:rPr>
          <w:b w:val="0"/>
        </w:rPr>
        <w:t xml:space="preserve">When the GHz noise frequency is an integer multiple of the pixel sampling rate for some combination of board temperature and image row, then the noise is aliased down to near-zero frequency, as shown in </w:t>
      </w:r>
      <w:r w:rsidR="004C78B9" w:rsidRPr="005E7AA6">
        <w:rPr>
          <w:b w:val="0"/>
        </w:rPr>
        <w:fldChar w:fldCharType="begin"/>
      </w:r>
      <w:r w:rsidRPr="005E7AA6">
        <w:rPr>
          <w:b w:val="0"/>
        </w:rPr>
        <w:instrText xml:space="preserve"> REF _Ref105578040 \h </w:instrText>
      </w:r>
      <w:r w:rsidR="002559BD" w:rsidRPr="004C78B9">
        <w:rPr>
          <w:b w:val="0"/>
        </w:rPr>
      </w:r>
      <w:r w:rsidR="004C78B9" w:rsidRPr="005E7AA6">
        <w:rPr>
          <w:b w:val="0"/>
        </w:rPr>
        <w:fldChar w:fldCharType="separate"/>
      </w:r>
      <w:r w:rsidR="000D2EB4">
        <w:t xml:space="preserve">Figure </w:t>
      </w:r>
      <w:r w:rsidR="000D2EB4">
        <w:rPr>
          <w:noProof/>
        </w:rPr>
        <w:t>43</w:t>
      </w:r>
      <w:r w:rsidR="004C78B9" w:rsidRPr="005E7AA6">
        <w:rPr>
          <w:b w:val="0"/>
        </w:rPr>
        <w:fldChar w:fldCharType="end"/>
      </w:r>
      <w:r w:rsidRPr="005E7AA6">
        <w:rPr>
          <w:b w:val="0"/>
        </w:rPr>
        <w:t xml:space="preserve"> and </w:t>
      </w:r>
      <w:r w:rsidR="004C78B9" w:rsidRPr="005E7AA6">
        <w:rPr>
          <w:b w:val="0"/>
        </w:rPr>
        <w:fldChar w:fldCharType="begin"/>
      </w:r>
      <w:r w:rsidRPr="005E7AA6">
        <w:rPr>
          <w:b w:val="0"/>
        </w:rPr>
        <w:instrText xml:space="preserve"> REF _Ref205879802 \h </w:instrText>
      </w:r>
      <w:r w:rsidR="002559BD" w:rsidRPr="004C78B9">
        <w:rPr>
          <w:b w:val="0"/>
        </w:rPr>
      </w:r>
      <w:r w:rsidR="004C78B9" w:rsidRPr="005E7AA6">
        <w:rPr>
          <w:b w:val="0"/>
        </w:rPr>
        <w:fldChar w:fldCharType="separate"/>
      </w:r>
      <w:r w:rsidR="000D2EB4">
        <w:t xml:space="preserve">Figure </w:t>
      </w:r>
      <w:r w:rsidR="000D2EB4">
        <w:rPr>
          <w:noProof/>
        </w:rPr>
        <w:t>44</w:t>
      </w:r>
      <w:r w:rsidR="004C78B9" w:rsidRPr="005E7AA6">
        <w:rPr>
          <w:b w:val="0"/>
        </w:rPr>
        <w:fldChar w:fldCharType="end"/>
      </w:r>
      <w:r w:rsidRPr="005E7AA6">
        <w:rPr>
          <w:b w:val="0"/>
        </w:rPr>
        <w:t>.  Sinc</w:t>
      </w:r>
      <w:r>
        <w:rPr>
          <w:b w:val="0"/>
        </w:rPr>
        <w:t>e the ro</w:t>
      </w:r>
      <w:r w:rsidR="00FE4B33">
        <w:rPr>
          <w:b w:val="0"/>
        </w:rPr>
        <w:t>ws with the aliased noise move (or “roll”)</w:t>
      </w:r>
      <w:r>
        <w:rPr>
          <w:b w:val="0"/>
        </w:rPr>
        <w:t xml:space="preserve"> with small changes in board temperature, this phenomenon is called a </w:t>
      </w:r>
      <w:r w:rsidRPr="000003F0">
        <w:rPr>
          <w:b w:val="0"/>
          <w:i/>
        </w:rPr>
        <w:t>Rolling Band</w:t>
      </w:r>
      <w:r>
        <w:rPr>
          <w:b w:val="0"/>
        </w:rPr>
        <w:t>.</w:t>
      </w:r>
    </w:p>
    <w:p w:rsidR="00404448" w:rsidRPr="00C20817" w:rsidRDefault="000518AB" w:rsidP="00404448">
      <w:r>
        <w:rPr>
          <w:noProof/>
        </w:rPr>
        <w:drawing>
          <wp:inline distT="0" distB="0" distL="0" distR="0">
            <wp:extent cx="5060950" cy="6053455"/>
            <wp:effectExtent l="25400" t="0" r="0" b="0"/>
            <wp:docPr id="46" name="Picture 46" descr="rb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rb_16"/>
                    <pic:cNvPicPr>
                      <a:picLocks noChangeAspect="1" noChangeArrowheads="1"/>
                    </pic:cNvPicPr>
                  </pic:nvPicPr>
                  <pic:blipFill>
                    <a:blip r:embed="rId76"/>
                    <a:srcRect/>
                    <a:stretch>
                      <a:fillRect/>
                    </a:stretch>
                  </pic:blipFill>
                  <pic:spPr bwMode="auto">
                    <a:xfrm>
                      <a:off x="0" y="0"/>
                      <a:ext cx="5060950" cy="6053455"/>
                    </a:xfrm>
                    <a:prstGeom prst="rect">
                      <a:avLst/>
                    </a:prstGeom>
                    <a:noFill/>
                    <a:ln w="9525">
                      <a:noFill/>
                      <a:miter lim="800000"/>
                      <a:headEnd/>
                      <a:tailEnd/>
                    </a:ln>
                  </pic:spPr>
                </pic:pic>
              </a:graphicData>
            </a:graphic>
          </wp:inline>
        </w:drawing>
      </w:r>
    </w:p>
    <w:p w:rsidR="00404448" w:rsidRPr="003E24CF" w:rsidRDefault="00404448" w:rsidP="00404448">
      <w:pPr>
        <w:pStyle w:val="Caption"/>
      </w:pPr>
      <w:bookmarkStart w:id="235" w:name="_Ref105578040"/>
      <w:bookmarkStart w:id="236" w:name="_Toc322942273"/>
      <w:r>
        <w:t xml:space="preserve">Figure </w:t>
      </w:r>
      <w:fldSimple w:instr=" SEQ Figure \* ARABIC ">
        <w:r w:rsidR="000D2EB4">
          <w:rPr>
            <w:noProof/>
          </w:rPr>
          <w:t>43</w:t>
        </w:r>
      </w:fldSimple>
      <w:bookmarkEnd w:id="234"/>
      <w:bookmarkEnd w:id="235"/>
      <w:r>
        <w:t>:  Example of Rolling Band low frequency noise, channel 16.2, collected during dark measurements pre-DCE.  Note that there is considerably more structure in the first 300 columns, where SOLR is also found.  SOLR and the black level have been removed from the image to make the Rolling Band more apparent.  The resulting image is scaled linearly over the range shown, or +/- 0.55 DN/frame. Since these data were collected pre-DCE, the board temperatures are ~8 C warmer than</w:t>
      </w:r>
      <w:r w:rsidR="00FE4B33">
        <w:t xml:space="preserve"> during Science operations, so </w:t>
      </w:r>
      <w:r>
        <w:t>these images are exampl</w:t>
      </w:r>
      <w:r w:rsidR="00FE4B33">
        <w:t>es which are</w:t>
      </w:r>
      <w:r>
        <w:t xml:space="preserve"> not necessarily indicative of that channel’s properties during Science operations.</w:t>
      </w:r>
      <w:bookmarkEnd w:id="236"/>
    </w:p>
    <w:p w:rsidR="00404448" w:rsidRDefault="000518AB" w:rsidP="00404448">
      <w:pPr>
        <w:keepNext/>
      </w:pPr>
      <w:r>
        <w:rPr>
          <w:noProof/>
        </w:rPr>
        <w:drawing>
          <wp:inline distT="0" distB="0" distL="0" distR="0">
            <wp:extent cx="5067935" cy="6053455"/>
            <wp:effectExtent l="25400" t="0" r="12065" b="0"/>
            <wp:docPr id="47" name="Picture 47" descr="rb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rb_16"/>
                    <pic:cNvPicPr>
                      <a:picLocks noChangeAspect="1" noChangeArrowheads="1"/>
                    </pic:cNvPicPr>
                  </pic:nvPicPr>
                  <pic:blipFill>
                    <a:blip r:embed="rId77"/>
                    <a:srcRect/>
                    <a:stretch>
                      <a:fillRect/>
                    </a:stretch>
                  </pic:blipFill>
                  <pic:spPr bwMode="auto">
                    <a:xfrm>
                      <a:off x="0" y="0"/>
                      <a:ext cx="5067935" cy="6053455"/>
                    </a:xfrm>
                    <a:prstGeom prst="rect">
                      <a:avLst/>
                    </a:prstGeom>
                    <a:noFill/>
                    <a:ln w="9525">
                      <a:noFill/>
                      <a:miter lim="800000"/>
                      <a:headEnd/>
                      <a:tailEnd/>
                    </a:ln>
                  </pic:spPr>
                </pic:pic>
              </a:graphicData>
            </a:graphic>
          </wp:inline>
        </w:drawing>
      </w:r>
    </w:p>
    <w:p w:rsidR="00404448" w:rsidRPr="00DD1758" w:rsidRDefault="00404448" w:rsidP="00404448">
      <w:pPr>
        <w:pStyle w:val="Caption"/>
      </w:pPr>
      <w:bookmarkStart w:id="237" w:name="_Ref205879802"/>
      <w:bookmarkStart w:id="238" w:name="_Ref205879678"/>
      <w:bookmarkStart w:id="239" w:name="_Toc322942274"/>
      <w:r>
        <w:t xml:space="preserve">Figure </w:t>
      </w:r>
      <w:fldSimple w:instr=" SEQ Figure \* ARABIC ">
        <w:r w:rsidR="000D2EB4">
          <w:rPr>
            <w:noProof/>
          </w:rPr>
          <w:t>44</w:t>
        </w:r>
      </w:fldSimple>
      <w:bookmarkEnd w:id="237"/>
      <w:r>
        <w:t>:</w:t>
      </w:r>
      <w:bookmarkEnd w:id="238"/>
      <w:r>
        <w:t xml:space="preserve"> Example of Rolling Band low frequency noise collected during dark measurements collected pre-DCE.   Same channel, integration parameters, SOLR and black removal, and scaling as in </w:t>
      </w:r>
      <w:r w:rsidR="004C78B9">
        <w:fldChar w:fldCharType="begin"/>
      </w:r>
      <w:r w:rsidR="00C903B6">
        <w:instrText xml:space="preserve"> REF _Ref105578040 \h </w:instrText>
      </w:r>
      <w:r w:rsidR="004C78B9">
        <w:fldChar w:fldCharType="separate"/>
      </w:r>
      <w:r w:rsidR="000D2EB4">
        <w:t xml:space="preserve">Figure </w:t>
      </w:r>
      <w:r w:rsidR="000D2EB4">
        <w:rPr>
          <w:noProof/>
        </w:rPr>
        <w:t>43</w:t>
      </w:r>
      <w:r w:rsidR="004C78B9">
        <w:fldChar w:fldCharType="end"/>
      </w:r>
      <w:r>
        <w:t xml:space="preserve">, but collected 2.5 hr later.  The Rolling Band has moved upward and in subsequent FFIs has moved out of the image.  The zoom boxes are shown below </w:t>
      </w:r>
      <w:r w:rsidR="00F66A9C">
        <w:t>(</w:t>
      </w:r>
      <w:r w:rsidR="004C78B9">
        <w:fldChar w:fldCharType="begin"/>
      </w:r>
      <w:r w:rsidR="0070624D">
        <w:instrText xml:space="preserve"> REF _Ref105581824 \h </w:instrText>
      </w:r>
      <w:r w:rsidR="004C78B9">
        <w:fldChar w:fldCharType="separate"/>
      </w:r>
      <w:r w:rsidR="000D2EB4">
        <w:t xml:space="preserve">Figure </w:t>
      </w:r>
      <w:r w:rsidR="000D2EB4">
        <w:rPr>
          <w:noProof/>
        </w:rPr>
        <w:t>45</w:t>
      </w:r>
      <w:r w:rsidR="004C78B9">
        <w:fldChar w:fldCharType="end"/>
      </w:r>
      <w:r w:rsidR="00F66A9C">
        <w:t xml:space="preserve">) </w:t>
      </w:r>
      <w:r>
        <w:t>in the discussion of Moire patterns.</w:t>
      </w:r>
      <w:bookmarkEnd w:id="239"/>
    </w:p>
    <w:p w:rsidR="00404448" w:rsidRDefault="00404448" w:rsidP="00404448">
      <w:pPr>
        <w:pStyle w:val="Heading3"/>
      </w:pPr>
      <w:bookmarkStart w:id="240" w:name="_Toc322942210"/>
      <w:r>
        <w:t>Aliased to near-Nyquist Spatial Frequency:  Moiré</w:t>
      </w:r>
      <w:bookmarkEnd w:id="240"/>
    </w:p>
    <w:p w:rsidR="00404448" w:rsidRPr="00FB5CF0" w:rsidRDefault="00404448" w:rsidP="00404448">
      <w:r w:rsidRPr="00FB5CF0">
        <w:t>Merriam-Webster defines moiré as “</w:t>
      </w:r>
      <w:r w:rsidRPr="00FB5CF0">
        <w:rPr>
          <w:i/>
        </w:rPr>
        <w:t>An independent, usually shimmering, pattern seen when two geometrically regular patterns (as two sets of parallel lines or two halftone screens) are superimposed, especially at an acute angle.”</w:t>
      </w:r>
    </w:p>
    <w:p w:rsidR="00404448" w:rsidRDefault="00404448" w:rsidP="00404448">
      <w:r>
        <w:t xml:space="preserve">The term Moiré was applied to the visual appearance of the aliased GHz noise in FFIs. </w:t>
      </w:r>
      <w:r w:rsidR="004C78B9">
        <w:fldChar w:fldCharType="begin"/>
      </w:r>
      <w:r w:rsidR="00C903B6">
        <w:instrText xml:space="preserve"> REF _Ref105581824 \h </w:instrText>
      </w:r>
      <w:r w:rsidR="004C78B9">
        <w:fldChar w:fldCharType="separate"/>
      </w:r>
      <w:r w:rsidR="000D2EB4">
        <w:t xml:space="preserve">Figure </w:t>
      </w:r>
      <w:r w:rsidR="000D2EB4">
        <w:rPr>
          <w:noProof/>
        </w:rPr>
        <w:t>45</w:t>
      </w:r>
      <w:r w:rsidR="004C78B9">
        <w:fldChar w:fldCharType="end"/>
      </w:r>
      <w:r>
        <w:t xml:space="preserve"> </w:t>
      </w:r>
      <w:r w:rsidR="00697269">
        <w:t xml:space="preserve">(zoom of </w:t>
      </w:r>
      <w:r w:rsidR="004C78B9">
        <w:fldChar w:fldCharType="begin"/>
      </w:r>
      <w:r w:rsidR="00697269">
        <w:instrText xml:space="preserve"> REF _Ref205879802 \h </w:instrText>
      </w:r>
      <w:r w:rsidR="004C78B9">
        <w:fldChar w:fldCharType="separate"/>
      </w:r>
      <w:r w:rsidR="000D2EB4">
        <w:t xml:space="preserve">Figure </w:t>
      </w:r>
      <w:r w:rsidR="000D2EB4">
        <w:rPr>
          <w:noProof/>
        </w:rPr>
        <w:t>44</w:t>
      </w:r>
      <w:r w:rsidR="004C78B9">
        <w:fldChar w:fldCharType="end"/>
      </w:r>
      <w:r w:rsidR="00697269">
        <w:t xml:space="preserve">) </w:t>
      </w:r>
      <w:r>
        <w:t>shows how the aliased frequency increases further away from the Rolling Band.  The short spatial frequency of the aliased noise in the Moiré region is comparable to the size of target apertures, and hence phase shifts of the aliased noise are well-coupled to the photometric time series.</w:t>
      </w:r>
    </w:p>
    <w:p w:rsidR="00404448" w:rsidRDefault="000518AB" w:rsidP="00404448">
      <w:pPr>
        <w:keepNext/>
      </w:pPr>
      <w:r>
        <w:rPr>
          <w:noProof/>
        </w:rPr>
        <w:drawing>
          <wp:inline distT="0" distB="0" distL="0" distR="0">
            <wp:extent cx="5939790" cy="3324225"/>
            <wp:effectExtent l="25400" t="0" r="3810" b="0"/>
            <wp:docPr id="48" name="Picture 48" descr="moire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moire_16"/>
                    <pic:cNvPicPr>
                      <a:picLocks noChangeAspect="1" noChangeArrowheads="1"/>
                    </pic:cNvPicPr>
                  </pic:nvPicPr>
                  <pic:blipFill>
                    <a:blip r:embed="rId78"/>
                    <a:srcRect/>
                    <a:stretch>
                      <a:fillRect/>
                    </a:stretch>
                  </pic:blipFill>
                  <pic:spPr bwMode="auto">
                    <a:xfrm>
                      <a:off x="0" y="0"/>
                      <a:ext cx="5939790" cy="3324225"/>
                    </a:xfrm>
                    <a:prstGeom prst="rect">
                      <a:avLst/>
                    </a:prstGeom>
                    <a:noFill/>
                    <a:ln w="9525">
                      <a:noFill/>
                      <a:miter lim="800000"/>
                      <a:headEnd/>
                      <a:tailEnd/>
                    </a:ln>
                  </pic:spPr>
                </pic:pic>
              </a:graphicData>
            </a:graphic>
          </wp:inline>
        </w:drawing>
      </w:r>
    </w:p>
    <w:p w:rsidR="00404448" w:rsidRPr="00613701" w:rsidRDefault="00404448" w:rsidP="00404448">
      <w:pPr>
        <w:pStyle w:val="Caption"/>
      </w:pPr>
      <w:bookmarkStart w:id="241" w:name="_Ref105581824"/>
      <w:bookmarkStart w:id="242" w:name="_Toc322942275"/>
      <w:r>
        <w:t xml:space="preserve">Figure </w:t>
      </w:r>
      <w:fldSimple w:instr=" SEQ Figure \* ARABIC ">
        <w:r w:rsidR="000D2EB4">
          <w:rPr>
            <w:noProof/>
          </w:rPr>
          <w:t>45</w:t>
        </w:r>
      </w:fldSimple>
      <w:bookmarkEnd w:id="241"/>
      <w:r>
        <w:t xml:space="preserve">:  Moiré patterns, from the zoom boxes shown in </w:t>
      </w:r>
      <w:r w:rsidR="004C78B9">
        <w:fldChar w:fldCharType="begin"/>
      </w:r>
      <w:r w:rsidR="00C903B6">
        <w:instrText xml:space="preserve"> REF _Ref205879802 \h </w:instrText>
      </w:r>
      <w:r w:rsidR="004C78B9">
        <w:fldChar w:fldCharType="separate"/>
      </w:r>
      <w:r w:rsidR="000D2EB4">
        <w:t xml:space="preserve">Figure </w:t>
      </w:r>
      <w:r w:rsidR="000D2EB4">
        <w:rPr>
          <w:noProof/>
        </w:rPr>
        <w:t>44</w:t>
      </w:r>
      <w:r w:rsidR="004C78B9">
        <w:fldChar w:fldCharType="end"/>
      </w:r>
      <w:r>
        <w:t>.  Scaling is linear, +/- 0.28 DN/frame.  Black horizontal patterns are FGS crosstalk.</w:t>
      </w:r>
      <w:bookmarkEnd w:id="242"/>
    </w:p>
    <w:p w:rsidR="00404448" w:rsidRDefault="00404448" w:rsidP="00404448">
      <w:pPr>
        <w:pStyle w:val="Heading3"/>
      </w:pPr>
      <w:bookmarkStart w:id="243" w:name="_Toc322942211"/>
      <w:r>
        <w:t>Detection in Row Fourier Transforms</w:t>
      </w:r>
      <w:bookmarkEnd w:id="243"/>
    </w:p>
    <w:p w:rsidR="00404448" w:rsidRDefault="00404448" w:rsidP="00404448">
      <w:r>
        <w:t xml:space="preserve">The Moiré pattern is particularly easy to see in row-by-row Fourier transforms of dark images, especially if SOLR, black level, and FGS crosstalk are removed from the image.  An example from pre-DCE dark data collected during Commissioning is shown in </w:t>
      </w:r>
      <w:r w:rsidR="004C78B9">
        <w:fldChar w:fldCharType="begin"/>
      </w:r>
      <w:r w:rsidR="00C903B6">
        <w:instrText xml:space="preserve"> REF _Ref105584513 \h </w:instrText>
      </w:r>
      <w:r w:rsidR="004C78B9">
        <w:fldChar w:fldCharType="separate"/>
      </w:r>
      <w:r w:rsidR="000D2EB4">
        <w:t xml:space="preserve">Figure </w:t>
      </w:r>
      <w:r w:rsidR="000D2EB4">
        <w:rPr>
          <w:noProof/>
        </w:rPr>
        <w:t>46</w:t>
      </w:r>
      <w:r w:rsidR="004C78B9">
        <w:fldChar w:fldCharType="end"/>
      </w:r>
      <w:r>
        <w:t xml:space="preserve">.  </w:t>
      </w:r>
      <w:r w:rsidR="00907D5C">
        <w:t xml:space="preserve">See </w:t>
      </w:r>
      <w:r>
        <w:t xml:space="preserve">Kolodziejczak </w:t>
      </w:r>
      <w:r w:rsidR="00FB3FC1" w:rsidRPr="00FB3FC1">
        <w:rPr>
          <w:i/>
        </w:rPr>
        <w:t>et al.</w:t>
      </w:r>
      <w:r w:rsidR="00FB3FC1">
        <w:t xml:space="preserve"> (2010)</w:t>
      </w:r>
      <w:r>
        <w:t xml:space="preserve"> </w:t>
      </w:r>
      <w:r w:rsidR="00907D5C">
        <w:t>for a discussion of using differences of illuminated in-flight FFIs to detect Moiré patterns.</w:t>
      </w:r>
    </w:p>
    <w:p w:rsidR="00404448" w:rsidRDefault="00EE1C94" w:rsidP="00404448">
      <w:pPr>
        <w:keepNext/>
      </w:pPr>
      <w:r w:rsidRPr="00EE1C94">
        <w:rPr>
          <w:noProof/>
        </w:rPr>
        <w:drawing>
          <wp:inline distT="0" distB="0" distL="0" distR="0">
            <wp:extent cx="4961890" cy="5939790"/>
            <wp:effectExtent l="25400" t="0" r="0" b="0"/>
            <wp:docPr id="9" name="O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961890" cy="5939790"/>
                      <a:chOff x="1942332" y="356127"/>
                      <a:chExt cx="4961890" cy="5939790"/>
                    </a:xfrm>
                  </a:grpSpPr>
                  <a:grpSp>
                    <a:nvGrpSpPr>
                      <a:cNvPr id="10" name="Group 9"/>
                      <a:cNvGrpSpPr/>
                    </a:nvGrpSpPr>
                    <a:grpSpPr>
                      <a:xfrm>
                        <a:off x="1942332" y="356127"/>
                        <a:ext cx="4961890" cy="5939790"/>
                        <a:chOff x="1942332" y="356127"/>
                        <a:chExt cx="4961890" cy="5939790"/>
                      </a:xfrm>
                    </a:grpSpPr>
                    <a:pic>
                      <a:nvPicPr>
                        <a:cNvPr id="4" name="Picture 3" descr="fft_16"/>
                        <a:cNvPicPr/>
                      </a:nvPicPr>
                      <a:blipFill>
                        <a:blip r:embed="rId79">
                          <a:lum/>
                        </a:blip>
                        <a:srcRect/>
                        <a:stretch>
                          <a:fillRect/>
                        </a:stretch>
                      </a:blipFill>
                      <a:spPr bwMode="auto">
                        <a:xfrm>
                          <a:off x="1942332" y="356127"/>
                          <a:ext cx="4961890" cy="5939790"/>
                        </a:xfrm>
                        <a:prstGeom prst="rect">
                          <a:avLst/>
                        </a:prstGeom>
                        <a:noFill/>
                        <a:ln w="9525">
                          <a:noFill/>
                          <a:miter lim="800000"/>
                          <a:headEnd/>
                          <a:tailEnd/>
                        </a:ln>
                      </a:spPr>
                    </a:pic>
                    <a:cxnSp>
                      <a:nvCxnSpPr>
                        <a:cNvPr id="6" name="Straight Arrow Connector 5"/>
                        <a:cNvCxnSpPr/>
                      </a:nvCxnSpPr>
                      <a:spPr>
                        <a:xfrm rot="10800000">
                          <a:off x="5903415" y="3135087"/>
                          <a:ext cx="194493" cy="125861"/>
                        </a:xfrm>
                        <a:prstGeom prst="straightConnector1">
                          <a:avLst/>
                        </a:prstGeom>
                        <a:ln>
                          <a:solidFill>
                            <a:srgbClr val="24FF15"/>
                          </a:solidFill>
                          <a:tailEnd type="arrow"/>
                        </a:ln>
                      </a:spPr>
                      <a:style>
                        <a:lnRef idx="2">
                          <a:schemeClr val="accent1"/>
                        </a:lnRef>
                        <a:fillRef idx="0">
                          <a:schemeClr val="accent1"/>
                        </a:fillRef>
                        <a:effectRef idx="1">
                          <a:schemeClr val="accent1"/>
                        </a:effectRef>
                        <a:fontRef idx="minor">
                          <a:schemeClr val="tx1"/>
                        </a:fontRef>
                      </a:style>
                    </a:cxnSp>
                    <a:cxnSp>
                      <a:nvCxnSpPr>
                        <a:cNvPr id="9" name="Straight Arrow Connector 8"/>
                        <a:cNvCxnSpPr/>
                      </a:nvCxnSpPr>
                      <a:spPr>
                        <a:xfrm flipV="1">
                          <a:off x="2677130" y="4576767"/>
                          <a:ext cx="263136" cy="102978"/>
                        </a:xfrm>
                        <a:prstGeom prst="straightConnector1">
                          <a:avLst/>
                        </a:prstGeom>
                        <a:ln>
                          <a:solidFill>
                            <a:srgbClr val="24FF15"/>
                          </a:solidFill>
                          <a:tailEnd type="arrow"/>
                        </a:ln>
                      </a:spPr>
                      <a:style>
                        <a:lnRef idx="2">
                          <a:schemeClr val="accent1"/>
                        </a:lnRef>
                        <a:fillRef idx="0">
                          <a:schemeClr val="accent1"/>
                        </a:fillRef>
                        <a:effectRef idx="1">
                          <a:schemeClr val="accent1"/>
                        </a:effectRef>
                        <a:fontRef idx="minor">
                          <a:schemeClr val="tx1"/>
                        </a:fontRef>
                      </a:style>
                    </a:cxnSp>
                  </a:grpSp>
                </lc:lockedCanvas>
              </a:graphicData>
            </a:graphic>
          </wp:inline>
        </w:drawing>
      </w:r>
    </w:p>
    <w:p w:rsidR="00404448" w:rsidRPr="00310D41" w:rsidRDefault="00404448" w:rsidP="00404448">
      <w:pPr>
        <w:pStyle w:val="Caption"/>
      </w:pPr>
      <w:bookmarkStart w:id="244" w:name="_Ref105584513"/>
      <w:bookmarkStart w:id="245" w:name="_Toc322942276"/>
      <w:r>
        <w:t xml:space="preserve">Figure </w:t>
      </w:r>
      <w:fldSimple w:instr=" SEQ Figure \* ARABIC ">
        <w:r w:rsidR="000D2EB4">
          <w:rPr>
            <w:noProof/>
          </w:rPr>
          <w:t>46</w:t>
        </w:r>
      </w:fldSimple>
      <w:bookmarkEnd w:id="244"/>
      <w:r>
        <w:t xml:space="preserve">:  Row-by-row Fourier Transform of data shown in </w:t>
      </w:r>
      <w:r w:rsidR="004C78B9">
        <w:fldChar w:fldCharType="begin"/>
      </w:r>
      <w:r w:rsidR="00C903B6">
        <w:instrText xml:space="preserve"> REF _Ref205879802 \h </w:instrText>
      </w:r>
      <w:r w:rsidR="004C78B9">
        <w:fldChar w:fldCharType="separate"/>
      </w:r>
      <w:r w:rsidR="000D2EB4">
        <w:t xml:space="preserve">Figure </w:t>
      </w:r>
      <w:r w:rsidR="000D2EB4">
        <w:rPr>
          <w:noProof/>
        </w:rPr>
        <w:t>44</w:t>
      </w:r>
      <w:r w:rsidR="004C78B9">
        <w:fldChar w:fldCharType="end"/>
      </w:r>
      <w:r>
        <w:t xml:space="preserve"> and </w:t>
      </w:r>
      <w:r w:rsidR="004C78B9">
        <w:fldChar w:fldCharType="begin"/>
      </w:r>
      <w:r w:rsidR="00C903B6">
        <w:instrText xml:space="preserve"> REF _Ref105581824 \h </w:instrText>
      </w:r>
      <w:r w:rsidR="004C78B9">
        <w:fldChar w:fldCharType="separate"/>
      </w:r>
      <w:r w:rsidR="000D2EB4">
        <w:t xml:space="preserve">Figure </w:t>
      </w:r>
      <w:r w:rsidR="000D2EB4">
        <w:rPr>
          <w:noProof/>
        </w:rPr>
        <w:t>45</w:t>
      </w:r>
      <w:r w:rsidR="004C78B9">
        <w:fldChar w:fldCharType="end"/>
      </w:r>
      <w:r>
        <w:t xml:space="preserve">.  </w:t>
      </w:r>
      <w:r w:rsidR="002A127D">
        <w:t xml:space="preserve">Vertical axis is row, horizontal axis is cycles per column. </w:t>
      </w:r>
      <w:r>
        <w:t>The Moiré pattern is the parabolic, grey arc</w:t>
      </w:r>
      <w:r w:rsidR="00EE1C94">
        <w:t xml:space="preserve"> (</w:t>
      </w:r>
      <w:r w:rsidR="008133A5">
        <w:t xml:space="preserve">highlighted by </w:t>
      </w:r>
      <w:r w:rsidR="00EE1C94">
        <w:t>green arrows)</w:t>
      </w:r>
      <w:r>
        <w:t xml:space="preserve">.  The zero crossing is where the parabolic grey arc intersects the left vertical axis near the top of the image, and </w:t>
      </w:r>
      <w:r w:rsidR="00471B96">
        <w:t xml:space="preserve">the </w:t>
      </w:r>
      <w:r>
        <w:t xml:space="preserve">corresponding Nyquist crossing is where the arc intersects the right vertical axis.  Note that the zero crossing of the Moiré frequency coincides with the position of the Rolling Band shown in </w:t>
      </w:r>
      <w:r w:rsidR="004C78B9">
        <w:fldChar w:fldCharType="begin"/>
      </w:r>
      <w:r w:rsidR="00C903B6">
        <w:instrText xml:space="preserve"> REF _Ref205879802 \h </w:instrText>
      </w:r>
      <w:r w:rsidR="004C78B9">
        <w:fldChar w:fldCharType="separate"/>
      </w:r>
      <w:r w:rsidR="000D2EB4">
        <w:t xml:space="preserve">Figure </w:t>
      </w:r>
      <w:r w:rsidR="000D2EB4">
        <w:rPr>
          <w:noProof/>
        </w:rPr>
        <w:t>44</w:t>
      </w:r>
      <w:r w:rsidR="004C78B9">
        <w:fldChar w:fldCharType="end"/>
      </w:r>
      <w:r>
        <w:t>.  Horizontal lines are cosmic-ray hits</w:t>
      </w:r>
      <w:r w:rsidR="008133A5">
        <w:t>.</w:t>
      </w:r>
      <w:bookmarkEnd w:id="245"/>
    </w:p>
    <w:p w:rsidR="00404448" w:rsidRDefault="00404448" w:rsidP="00404448">
      <w:pPr>
        <w:pStyle w:val="Heading3"/>
      </w:pPr>
      <w:bookmarkStart w:id="246" w:name="_Ref105494208"/>
      <w:bookmarkStart w:id="247" w:name="_Toc322942212"/>
      <w:r>
        <w:t>Excitation by Bright Sources</w:t>
      </w:r>
      <w:bookmarkEnd w:id="246"/>
      <w:bookmarkEnd w:id="247"/>
    </w:p>
    <w:p w:rsidR="00404448" w:rsidRPr="00D83E12" w:rsidRDefault="00404448" w:rsidP="00404448">
      <w:r>
        <w:t>When a saturated pixel is presented to the amplifier, a greater amount of charge flows through the amplifier than when a pixel of low signal level is present.  This charge flow causes a very local, very short tim</w:t>
      </w:r>
      <w:r w:rsidR="00413D0D">
        <w:t>e constant (&lt;2 row periods = 0.97</w:t>
      </w:r>
      <w:r>
        <w:t xml:space="preserve"> ms) thermal transient. Since LDE temperature, and by inference amplifier temperature, is the most important factor in determining Artifact features, it is in hindsight not surprising that bright stars can excite the </w:t>
      </w:r>
      <w:r w:rsidR="00D4331E">
        <w:t>Moiré</w:t>
      </w:r>
      <w:r>
        <w:t xml:space="preserve"> pattern for pixels following a bright pixel in a given row (as shown in </w:t>
      </w:r>
      <w:r w:rsidR="004C78B9">
        <w:fldChar w:fldCharType="begin"/>
      </w:r>
      <w:r w:rsidR="00C903B6">
        <w:instrText xml:space="preserve"> REF _Ref105641967 \h </w:instrText>
      </w:r>
      <w:r w:rsidR="004C78B9">
        <w:fldChar w:fldCharType="separate"/>
      </w:r>
      <w:r w:rsidR="000D2EB4">
        <w:t xml:space="preserve">Figure </w:t>
      </w:r>
      <w:r w:rsidR="000D2EB4">
        <w:rPr>
          <w:noProof/>
        </w:rPr>
        <w:t>47</w:t>
      </w:r>
      <w:r w:rsidR="004C78B9">
        <w:fldChar w:fldCharType="end"/>
      </w:r>
      <w:r>
        <w:t>).</w:t>
      </w:r>
    </w:p>
    <w:p w:rsidR="00404448" w:rsidRDefault="000518AB" w:rsidP="00404448">
      <w:pPr>
        <w:keepNext/>
      </w:pPr>
      <w:r>
        <w:rPr>
          <w:noProof/>
        </w:rPr>
        <w:drawing>
          <wp:inline distT="0" distB="0" distL="0" distR="0">
            <wp:extent cx="5487289" cy="3068955"/>
            <wp:effectExtent l="6096" t="0" r="0" b="0"/>
            <wp:docPr id="50" name="O 2"/>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9144000" cy="5115847"/>
                      <a:chOff x="0" y="871076"/>
                      <a:chExt cx="9144000" cy="5115847"/>
                    </a:xfrm>
                  </a:grpSpPr>
                  <a:grpSp>
                    <a:nvGrpSpPr>
                      <a:cNvPr id="39" name="Group 38"/>
                      <a:cNvGrpSpPr/>
                    </a:nvGrpSpPr>
                    <a:grpSpPr>
                      <a:xfrm>
                        <a:off x="0" y="871076"/>
                        <a:ext cx="9144000" cy="5115847"/>
                        <a:chOff x="0" y="871076"/>
                        <a:chExt cx="9144000" cy="5115847"/>
                      </a:xfrm>
                    </a:grpSpPr>
                    <a:pic>
                      <a:nvPicPr>
                        <a:cNvPr id="2" name="Picture 1" descr="moire_star_excited_17.2.tiff"/>
                        <a:cNvPicPr>
                          <a:picLocks noChangeAspect="1"/>
                        </a:cNvPicPr>
                      </a:nvPicPr>
                      <a:blipFill>
                        <a:blip r:embed="rId80"/>
                        <a:stretch>
                          <a:fillRect/>
                        </a:stretch>
                      </a:blipFill>
                      <a:spPr>
                        <a:xfrm>
                          <a:off x="0" y="871076"/>
                          <a:ext cx="9144000" cy="5115847"/>
                        </a:xfrm>
                        <a:prstGeom prst="rect">
                          <a:avLst/>
                        </a:prstGeom>
                      </a:spPr>
                    </a:pic>
                    <a:cxnSp>
                      <a:nvCxnSpPr>
                        <a:cNvPr id="4" name="Straight Connector 3"/>
                        <a:cNvCxnSpPr/>
                      </a:nvCxnSpPr>
                      <a:spPr bwMode="auto">
                        <a:xfrm>
                          <a:off x="1750431" y="4073323"/>
                          <a:ext cx="1201276" cy="11442"/>
                        </a:xfrm>
                        <a:prstGeom prst="line">
                          <a:avLst/>
                        </a:prstGeom>
                        <a:solidFill>
                          <a:schemeClr val="accent1"/>
                        </a:solidFill>
                        <a:ln w="28575" cap="flat" cmpd="sng" algn="ctr">
                          <a:solidFill>
                            <a:srgbClr val="00FF00"/>
                          </a:solidFill>
                          <a:prstDash val="solid"/>
                          <a:round/>
                          <a:headEnd type="none" w="med" len="med"/>
                          <a:tailEnd type="none" w="med" len="med"/>
                        </a:ln>
                        <a:effectLst/>
                      </a:spPr>
                    </a:cxnSp>
                    <a:cxnSp>
                      <a:nvCxnSpPr>
                        <a:cNvPr id="5" name="Straight Connector 4"/>
                        <a:cNvCxnSpPr/>
                      </a:nvCxnSpPr>
                      <a:spPr bwMode="auto">
                        <a:xfrm>
                          <a:off x="1754101" y="4488887"/>
                          <a:ext cx="1220488" cy="7787"/>
                        </a:xfrm>
                        <a:prstGeom prst="line">
                          <a:avLst/>
                        </a:prstGeom>
                        <a:solidFill>
                          <a:schemeClr val="accent1"/>
                        </a:solidFill>
                        <a:ln w="28575" cap="flat" cmpd="sng" algn="ctr">
                          <a:solidFill>
                            <a:srgbClr val="00FF00"/>
                          </a:solidFill>
                          <a:prstDash val="solid"/>
                          <a:round/>
                          <a:headEnd type="none" w="med" len="med"/>
                          <a:tailEnd type="none" w="med" len="med"/>
                        </a:ln>
                        <a:effectLst/>
                      </a:spPr>
                    </a:cxnSp>
                    <a:cxnSp>
                      <a:nvCxnSpPr>
                        <a:cNvPr id="13" name="Straight Connector 12"/>
                        <a:cNvCxnSpPr/>
                      </a:nvCxnSpPr>
                      <a:spPr bwMode="auto">
                        <a:xfrm>
                          <a:off x="8157237" y="3318156"/>
                          <a:ext cx="986763" cy="1588"/>
                        </a:xfrm>
                        <a:prstGeom prst="line">
                          <a:avLst/>
                        </a:prstGeom>
                        <a:solidFill>
                          <a:schemeClr val="accent1"/>
                        </a:solidFill>
                        <a:ln w="28575" cap="flat" cmpd="sng" algn="ctr">
                          <a:solidFill>
                            <a:srgbClr val="00FF00"/>
                          </a:solidFill>
                          <a:prstDash val="solid"/>
                          <a:round/>
                          <a:headEnd type="none" w="med" len="med"/>
                          <a:tailEnd type="none" w="med" len="med"/>
                        </a:ln>
                        <a:effectLst/>
                      </a:spPr>
                    </a:cxnSp>
                    <a:cxnSp>
                      <a:nvCxnSpPr>
                        <a:cNvPr id="16" name="Straight Connector 15"/>
                        <a:cNvCxnSpPr/>
                      </a:nvCxnSpPr>
                      <a:spPr bwMode="auto">
                        <a:xfrm>
                          <a:off x="8157237" y="4408794"/>
                          <a:ext cx="986763" cy="1588"/>
                        </a:xfrm>
                        <a:prstGeom prst="line">
                          <a:avLst/>
                        </a:prstGeom>
                        <a:solidFill>
                          <a:schemeClr val="accent1"/>
                        </a:solidFill>
                        <a:ln w="28575" cap="flat" cmpd="sng" algn="ctr">
                          <a:solidFill>
                            <a:srgbClr val="00FF00"/>
                          </a:solidFill>
                          <a:prstDash val="solid"/>
                          <a:round/>
                          <a:headEnd type="none" w="med" len="med"/>
                          <a:tailEnd type="none" w="med" len="med"/>
                        </a:ln>
                        <a:effectLst/>
                      </a:spPr>
                    </a:cxnSp>
                    <a:cxnSp>
                      <a:nvCxnSpPr>
                        <a:cNvPr id="33" name="Straight Connector 32"/>
                        <a:cNvCxnSpPr/>
                      </a:nvCxnSpPr>
                      <a:spPr bwMode="auto">
                        <a:xfrm>
                          <a:off x="3352133" y="4164858"/>
                          <a:ext cx="2711452" cy="13030"/>
                        </a:xfrm>
                        <a:prstGeom prst="line">
                          <a:avLst/>
                        </a:prstGeom>
                        <a:solidFill>
                          <a:schemeClr val="accent1"/>
                        </a:solidFill>
                        <a:ln w="28575" cap="flat" cmpd="sng" algn="ctr">
                          <a:solidFill>
                            <a:srgbClr val="00FF00"/>
                          </a:solidFill>
                          <a:prstDash val="solid"/>
                          <a:round/>
                          <a:headEnd type="none" w="med" len="med"/>
                          <a:tailEnd type="none" w="med" len="med"/>
                        </a:ln>
                        <a:effectLst/>
                      </a:spPr>
                    </a:cxnSp>
                    <a:cxnSp>
                      <a:nvCxnSpPr>
                        <a:cNvPr id="38" name="Straight Connector 37"/>
                        <a:cNvCxnSpPr/>
                      </a:nvCxnSpPr>
                      <a:spPr bwMode="auto">
                        <a:xfrm>
                          <a:off x="3344363" y="4546096"/>
                          <a:ext cx="2711452" cy="13030"/>
                        </a:xfrm>
                        <a:prstGeom prst="line">
                          <a:avLst/>
                        </a:prstGeom>
                        <a:solidFill>
                          <a:schemeClr val="accent1"/>
                        </a:solidFill>
                        <a:ln w="28575" cap="flat" cmpd="sng" algn="ctr">
                          <a:solidFill>
                            <a:srgbClr val="00FF00"/>
                          </a:solidFill>
                          <a:prstDash val="solid"/>
                          <a:round/>
                          <a:headEnd type="none" w="med" len="med"/>
                          <a:tailEnd type="none" w="med" len="med"/>
                        </a:ln>
                        <a:effectLst/>
                      </a:spPr>
                    </a:cxnSp>
                  </a:grpSp>
                </lc:lockedCanvas>
              </a:graphicData>
            </a:graphic>
          </wp:inline>
        </w:drawing>
      </w:r>
    </w:p>
    <w:p w:rsidR="00404448" w:rsidRPr="00483B8A" w:rsidRDefault="00404448" w:rsidP="00404448">
      <w:pPr>
        <w:pStyle w:val="Caption"/>
      </w:pPr>
      <w:bookmarkStart w:id="248" w:name="_Ref105641967"/>
      <w:bookmarkStart w:id="249" w:name="_Toc322942277"/>
      <w:r>
        <w:t xml:space="preserve">Figure </w:t>
      </w:r>
      <w:fldSimple w:instr=" SEQ Figure \* ARABIC ">
        <w:r w:rsidR="000D2EB4">
          <w:rPr>
            <w:noProof/>
          </w:rPr>
          <w:t>47</w:t>
        </w:r>
      </w:fldSimple>
      <w:bookmarkEnd w:id="248"/>
      <w:r>
        <w:t xml:space="preserve">:  </w:t>
      </w:r>
      <w:r w:rsidR="005B7C78">
        <w:t>Three examples of e</w:t>
      </w:r>
      <w:r>
        <w:t xml:space="preserve">xcitation of Moiré pattern by </w:t>
      </w:r>
      <w:r w:rsidR="005B7C78">
        <w:t xml:space="preserve">bright stars on </w:t>
      </w:r>
      <w:r>
        <w:t>channel 17.2.  These data were collected at shorter frame times and hence a higher LDE temperature than during Science Operations, so these images are examples and not necessarily indicative of that channel’s properties during Science operations.  The afflicted region</w:t>
      </w:r>
      <w:r w:rsidR="00DD30C2">
        <w:t>s are to the right of each</w:t>
      </w:r>
      <w:r>
        <w:t xml:space="preserve"> bright source and its charge bleed column, and bounded by the green lines.  Note propagation of artifact into the trailing black region in the rightmost panel.</w:t>
      </w:r>
      <w:bookmarkEnd w:id="249"/>
    </w:p>
    <w:p w:rsidR="00404448" w:rsidRDefault="00404448" w:rsidP="00404448">
      <w:pPr>
        <w:pStyle w:val="Heading3"/>
      </w:pPr>
      <w:bookmarkStart w:id="250" w:name="_Toc322942213"/>
      <w:r>
        <w:t>Photometric Consequences</w:t>
      </w:r>
      <w:bookmarkEnd w:id="250"/>
    </w:p>
    <w:p w:rsidR="00404448" w:rsidRPr="002B133C" w:rsidRDefault="004C78B9" w:rsidP="00404448">
      <w:r>
        <w:fldChar w:fldCharType="begin"/>
      </w:r>
      <w:r w:rsidR="00C903B6">
        <w:instrText xml:space="preserve"> REF _Ref105644525 \h </w:instrText>
      </w:r>
      <w:r>
        <w:fldChar w:fldCharType="separate"/>
      </w:r>
      <w:r w:rsidR="000D2EB4">
        <w:t xml:space="preserve">Figure </w:t>
      </w:r>
      <w:r w:rsidR="000D2EB4">
        <w:rPr>
          <w:noProof/>
        </w:rPr>
        <w:t>48</w:t>
      </w:r>
      <w:r>
        <w:fldChar w:fldCharType="end"/>
      </w:r>
      <w:r w:rsidR="00404448">
        <w:t xml:space="preserve"> shows that M</w:t>
      </w:r>
      <w:r w:rsidR="00404448" w:rsidRPr="002B133C">
        <w:t>oiré pattern</w:t>
      </w:r>
      <w:r w:rsidR="00404448">
        <w:t>s</w:t>
      </w:r>
      <w:r w:rsidR="00404448" w:rsidRPr="002B133C">
        <w:t xml:space="preserve"> </w:t>
      </w:r>
      <w:r w:rsidR="00404448">
        <w:t xml:space="preserve">can induce </w:t>
      </w:r>
      <w:r w:rsidR="00404448" w:rsidRPr="002B133C">
        <w:t>complex time-dependent signal variations in aperture-size regions at fl</w:t>
      </w:r>
      <w:r w:rsidR="00404448">
        <w:t xml:space="preserve">ight-like temperature stability.  The peak-to-peak amplitude handily exceeds the </w:t>
      </w:r>
      <w:r w:rsidR="002B0121">
        <w:t xml:space="preserve">0.016 </w:t>
      </w:r>
      <w:r w:rsidR="00404448">
        <w:t>DN/pixel/</w:t>
      </w:r>
      <w:r w:rsidR="002B0121">
        <w:t xml:space="preserve">frame </w:t>
      </w:r>
      <w:r w:rsidR="00404448">
        <w:t xml:space="preserve">threshold </w:t>
      </w:r>
      <w:r w:rsidR="002B0121">
        <w:t>for corrupting the photometry of 12</w:t>
      </w:r>
      <w:r w:rsidR="002B0121" w:rsidRPr="002B0121">
        <w:rPr>
          <w:vertAlign w:val="superscript"/>
        </w:rPr>
        <w:t>th</w:t>
      </w:r>
      <w:r w:rsidR="002B0121">
        <w:t xml:space="preserve"> magnitude stars (Kolodziejczak et al., 2010) </w:t>
      </w:r>
      <w:r w:rsidR="00404448">
        <w:t>and the signal</w:t>
      </w:r>
      <w:r w:rsidR="00404448" w:rsidRPr="002B133C">
        <w:t xml:space="preserve"> variations </w:t>
      </w:r>
      <w:r w:rsidR="00404448">
        <w:t xml:space="preserve">are </w:t>
      </w:r>
      <w:r w:rsidR="00404448" w:rsidRPr="002B133C">
        <w:t xml:space="preserve">on time scales from several to </w:t>
      </w:r>
      <w:r w:rsidR="00404448">
        <w:t>40 hrs.</w:t>
      </w:r>
    </w:p>
    <w:p w:rsidR="00404448" w:rsidRDefault="000518AB" w:rsidP="00404448">
      <w:pPr>
        <w:keepNext/>
      </w:pPr>
      <w:r>
        <w:rPr>
          <w:noProof/>
        </w:rPr>
        <w:drawing>
          <wp:inline distT="0" distB="0" distL="0" distR="0">
            <wp:extent cx="5487290" cy="1630045"/>
            <wp:effectExtent l="6095" t="0" r="0" b="0"/>
            <wp:docPr id="51" name="O 3"/>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772400" cy="2311643"/>
                      <a:chOff x="685800" y="2432050"/>
                      <a:chExt cx="7772400" cy="2311643"/>
                    </a:xfrm>
                  </a:grpSpPr>
                  <a:grpSp>
                    <a:nvGrpSpPr>
                      <a:cNvPr id="6" name="Group 5"/>
                      <a:cNvGrpSpPr/>
                    </a:nvGrpSpPr>
                    <a:grpSpPr>
                      <a:xfrm>
                        <a:off x="685800" y="2432050"/>
                        <a:ext cx="7772400" cy="2311643"/>
                        <a:chOff x="685800" y="2432050"/>
                        <a:chExt cx="7772400" cy="2311643"/>
                      </a:xfrm>
                    </a:grpSpPr>
                    <a:pic>
                      <a:nvPicPr>
                        <a:cNvPr id="2" name="Picture 1" descr="tvac_moire_time_series_9.2.tiff"/>
                        <a:cNvPicPr>
                          <a:picLocks noChangeAspect="1"/>
                        </a:cNvPicPr>
                      </a:nvPicPr>
                      <a:blipFill>
                        <a:blip r:embed="rId81"/>
                        <a:stretch>
                          <a:fillRect/>
                        </a:stretch>
                      </a:blipFill>
                      <a:spPr>
                        <a:xfrm>
                          <a:off x="685800" y="2432050"/>
                          <a:ext cx="7772400" cy="1993900"/>
                        </a:xfrm>
                        <a:prstGeom prst="rect">
                          <a:avLst/>
                        </a:prstGeom>
                      </a:spPr>
                    </a:pic>
                    <a:sp>
                      <a:nvSpPr>
                        <a:cNvPr id="4" name="TextBox 3"/>
                        <a:cNvSpPr txBox="1"/>
                      </a:nvSpPr>
                      <a:spPr>
                        <a:xfrm>
                          <a:off x="4461884" y="4405139"/>
                          <a:ext cx="1006005" cy="338554"/>
                        </a:xfrm>
                        <a:prstGeom prst="rect">
                          <a:avLst/>
                        </a:prstGeom>
                        <a:noFill/>
                      </a:spPr>
                      <a:txSp>
                        <a:txBody>
                          <a:bodyPr wrap="none" rtlCol="0">
                            <a:spAutoFit/>
                          </a:bodyPr>
                          <a:lstStyle>
                            <a:defPPr>
                              <a:defRPr lang="en-US"/>
                            </a:defPPr>
                            <a:lvl1pPr algn="l" rtl="0" eaLnBrk="0" fontAlgn="base" hangingPunct="0">
                              <a:spcBef>
                                <a:spcPct val="0"/>
                              </a:spcBef>
                              <a:spcAft>
                                <a:spcPct val="0"/>
                              </a:spcAft>
                              <a:defRPr kern="1200">
                                <a:solidFill>
                                  <a:schemeClr val="tx1"/>
                                </a:solidFill>
                                <a:latin typeface="Arial" pitchFamily="-65" charset="0"/>
                                <a:ea typeface="+mn-ea"/>
                                <a:cs typeface="+mn-cs"/>
                              </a:defRPr>
                            </a:lvl1pPr>
                            <a:lvl2pPr marL="457200" algn="l" rtl="0" eaLnBrk="0" fontAlgn="base" hangingPunct="0">
                              <a:spcBef>
                                <a:spcPct val="0"/>
                              </a:spcBef>
                              <a:spcAft>
                                <a:spcPct val="0"/>
                              </a:spcAft>
                              <a:defRPr kern="1200">
                                <a:solidFill>
                                  <a:schemeClr val="tx1"/>
                                </a:solidFill>
                                <a:latin typeface="Arial" pitchFamily="-65" charset="0"/>
                                <a:ea typeface="+mn-ea"/>
                                <a:cs typeface="+mn-cs"/>
                              </a:defRPr>
                            </a:lvl2pPr>
                            <a:lvl3pPr marL="914400" algn="l" rtl="0" eaLnBrk="0" fontAlgn="base" hangingPunct="0">
                              <a:spcBef>
                                <a:spcPct val="0"/>
                              </a:spcBef>
                              <a:spcAft>
                                <a:spcPct val="0"/>
                              </a:spcAft>
                              <a:defRPr kern="1200">
                                <a:solidFill>
                                  <a:schemeClr val="tx1"/>
                                </a:solidFill>
                                <a:latin typeface="Arial" pitchFamily="-65" charset="0"/>
                                <a:ea typeface="+mn-ea"/>
                                <a:cs typeface="+mn-cs"/>
                              </a:defRPr>
                            </a:lvl3pPr>
                            <a:lvl4pPr marL="1371600" algn="l" rtl="0" eaLnBrk="0" fontAlgn="base" hangingPunct="0">
                              <a:spcBef>
                                <a:spcPct val="0"/>
                              </a:spcBef>
                              <a:spcAft>
                                <a:spcPct val="0"/>
                              </a:spcAft>
                              <a:defRPr kern="1200">
                                <a:solidFill>
                                  <a:schemeClr val="tx1"/>
                                </a:solidFill>
                                <a:latin typeface="Arial" pitchFamily="-65" charset="0"/>
                                <a:ea typeface="+mn-ea"/>
                                <a:cs typeface="+mn-cs"/>
                              </a:defRPr>
                            </a:lvl4pPr>
                            <a:lvl5pPr marL="1828800" algn="l" rtl="0" eaLnBrk="0" fontAlgn="base" hangingPunct="0">
                              <a:spcBef>
                                <a:spcPct val="0"/>
                              </a:spcBef>
                              <a:spcAft>
                                <a:spcPct val="0"/>
                              </a:spcAft>
                              <a:defRPr kern="1200">
                                <a:solidFill>
                                  <a:schemeClr val="tx1"/>
                                </a:solidFill>
                                <a:latin typeface="Arial" pitchFamily="-65" charset="0"/>
                                <a:ea typeface="+mn-ea"/>
                                <a:cs typeface="+mn-cs"/>
                              </a:defRPr>
                            </a:lvl5pPr>
                            <a:lvl6pPr marL="2286000" algn="l" defTabSz="457200" rtl="0" eaLnBrk="1" latinLnBrk="0" hangingPunct="1">
                              <a:defRPr kern="1200">
                                <a:solidFill>
                                  <a:schemeClr val="tx1"/>
                                </a:solidFill>
                                <a:latin typeface="Arial" pitchFamily="-65" charset="0"/>
                                <a:ea typeface="+mn-ea"/>
                                <a:cs typeface="+mn-cs"/>
                              </a:defRPr>
                            </a:lvl6pPr>
                            <a:lvl7pPr marL="2743200" algn="l" defTabSz="457200" rtl="0" eaLnBrk="1" latinLnBrk="0" hangingPunct="1">
                              <a:defRPr kern="1200">
                                <a:solidFill>
                                  <a:schemeClr val="tx1"/>
                                </a:solidFill>
                                <a:latin typeface="Arial" pitchFamily="-65" charset="0"/>
                                <a:ea typeface="+mn-ea"/>
                                <a:cs typeface="+mn-cs"/>
                              </a:defRPr>
                            </a:lvl7pPr>
                            <a:lvl8pPr marL="3200400" algn="l" defTabSz="457200" rtl="0" eaLnBrk="1" latinLnBrk="0" hangingPunct="1">
                              <a:defRPr kern="1200">
                                <a:solidFill>
                                  <a:schemeClr val="tx1"/>
                                </a:solidFill>
                                <a:latin typeface="Arial" pitchFamily="-65" charset="0"/>
                                <a:ea typeface="+mn-ea"/>
                                <a:cs typeface="+mn-cs"/>
                              </a:defRPr>
                            </a:lvl8pPr>
                            <a:lvl9pPr marL="3657600" algn="l" defTabSz="457200" rtl="0" eaLnBrk="1" latinLnBrk="0" hangingPunct="1">
                              <a:defRPr kern="1200">
                                <a:solidFill>
                                  <a:schemeClr val="tx1"/>
                                </a:solidFill>
                                <a:latin typeface="Arial" pitchFamily="-65" charset="0"/>
                                <a:ea typeface="+mn-ea"/>
                                <a:cs typeface="+mn-cs"/>
                              </a:defRPr>
                            </a:lvl9pPr>
                          </a:lstStyle>
                          <a:p>
                            <a:r>
                              <a:rPr lang="en-US" sz="1600" dirty="0" smtClean="0"/>
                              <a:t>Cadence</a:t>
                            </a:r>
                            <a:endParaRPr lang="en-US" sz="1600" dirty="0"/>
                          </a:p>
                        </a:txBody>
                        <a:useSpRect/>
                      </a:txSp>
                    </a:sp>
                    <a:sp>
                      <a:nvSpPr>
                        <a:cNvPr id="5" name="TextBox 4"/>
                        <a:cNvSpPr txBox="1"/>
                      </a:nvSpPr>
                      <a:spPr>
                        <a:xfrm>
                          <a:off x="720767" y="2952015"/>
                          <a:ext cx="755034" cy="338554"/>
                        </a:xfrm>
                        <a:prstGeom prst="rect">
                          <a:avLst/>
                        </a:prstGeom>
                        <a:noFill/>
                      </a:spPr>
                      <a:txSp>
                        <a:txBody>
                          <a:bodyPr wrap="none" rtlCol="0">
                            <a:spAutoFit/>
                          </a:bodyPr>
                          <a:lstStyle>
                            <a:defPPr>
                              <a:defRPr lang="en-US"/>
                            </a:defPPr>
                            <a:lvl1pPr algn="l" rtl="0" eaLnBrk="0" fontAlgn="base" hangingPunct="0">
                              <a:spcBef>
                                <a:spcPct val="0"/>
                              </a:spcBef>
                              <a:spcAft>
                                <a:spcPct val="0"/>
                              </a:spcAft>
                              <a:defRPr kern="1200">
                                <a:solidFill>
                                  <a:schemeClr val="tx1"/>
                                </a:solidFill>
                                <a:latin typeface="Arial" pitchFamily="-65" charset="0"/>
                                <a:ea typeface="+mn-ea"/>
                                <a:cs typeface="+mn-cs"/>
                              </a:defRPr>
                            </a:lvl1pPr>
                            <a:lvl2pPr marL="457200" algn="l" rtl="0" eaLnBrk="0" fontAlgn="base" hangingPunct="0">
                              <a:spcBef>
                                <a:spcPct val="0"/>
                              </a:spcBef>
                              <a:spcAft>
                                <a:spcPct val="0"/>
                              </a:spcAft>
                              <a:defRPr kern="1200">
                                <a:solidFill>
                                  <a:schemeClr val="tx1"/>
                                </a:solidFill>
                                <a:latin typeface="Arial" pitchFamily="-65" charset="0"/>
                                <a:ea typeface="+mn-ea"/>
                                <a:cs typeface="+mn-cs"/>
                              </a:defRPr>
                            </a:lvl2pPr>
                            <a:lvl3pPr marL="914400" algn="l" rtl="0" eaLnBrk="0" fontAlgn="base" hangingPunct="0">
                              <a:spcBef>
                                <a:spcPct val="0"/>
                              </a:spcBef>
                              <a:spcAft>
                                <a:spcPct val="0"/>
                              </a:spcAft>
                              <a:defRPr kern="1200">
                                <a:solidFill>
                                  <a:schemeClr val="tx1"/>
                                </a:solidFill>
                                <a:latin typeface="Arial" pitchFamily="-65" charset="0"/>
                                <a:ea typeface="+mn-ea"/>
                                <a:cs typeface="+mn-cs"/>
                              </a:defRPr>
                            </a:lvl3pPr>
                            <a:lvl4pPr marL="1371600" algn="l" rtl="0" eaLnBrk="0" fontAlgn="base" hangingPunct="0">
                              <a:spcBef>
                                <a:spcPct val="0"/>
                              </a:spcBef>
                              <a:spcAft>
                                <a:spcPct val="0"/>
                              </a:spcAft>
                              <a:defRPr kern="1200">
                                <a:solidFill>
                                  <a:schemeClr val="tx1"/>
                                </a:solidFill>
                                <a:latin typeface="Arial" pitchFamily="-65" charset="0"/>
                                <a:ea typeface="+mn-ea"/>
                                <a:cs typeface="+mn-cs"/>
                              </a:defRPr>
                            </a:lvl4pPr>
                            <a:lvl5pPr marL="1828800" algn="l" rtl="0" eaLnBrk="0" fontAlgn="base" hangingPunct="0">
                              <a:spcBef>
                                <a:spcPct val="0"/>
                              </a:spcBef>
                              <a:spcAft>
                                <a:spcPct val="0"/>
                              </a:spcAft>
                              <a:defRPr kern="1200">
                                <a:solidFill>
                                  <a:schemeClr val="tx1"/>
                                </a:solidFill>
                                <a:latin typeface="Arial" pitchFamily="-65" charset="0"/>
                                <a:ea typeface="+mn-ea"/>
                                <a:cs typeface="+mn-cs"/>
                              </a:defRPr>
                            </a:lvl5pPr>
                            <a:lvl6pPr marL="2286000" algn="l" defTabSz="457200" rtl="0" eaLnBrk="1" latinLnBrk="0" hangingPunct="1">
                              <a:defRPr kern="1200">
                                <a:solidFill>
                                  <a:schemeClr val="tx1"/>
                                </a:solidFill>
                                <a:latin typeface="Arial" pitchFamily="-65" charset="0"/>
                                <a:ea typeface="+mn-ea"/>
                                <a:cs typeface="+mn-cs"/>
                              </a:defRPr>
                            </a:lvl6pPr>
                            <a:lvl7pPr marL="2743200" algn="l" defTabSz="457200" rtl="0" eaLnBrk="1" latinLnBrk="0" hangingPunct="1">
                              <a:defRPr kern="1200">
                                <a:solidFill>
                                  <a:schemeClr val="tx1"/>
                                </a:solidFill>
                                <a:latin typeface="Arial" pitchFamily="-65" charset="0"/>
                                <a:ea typeface="+mn-ea"/>
                                <a:cs typeface="+mn-cs"/>
                              </a:defRPr>
                            </a:lvl7pPr>
                            <a:lvl8pPr marL="3200400" algn="l" defTabSz="457200" rtl="0" eaLnBrk="1" latinLnBrk="0" hangingPunct="1">
                              <a:defRPr kern="1200">
                                <a:solidFill>
                                  <a:schemeClr val="tx1"/>
                                </a:solidFill>
                                <a:latin typeface="Arial" pitchFamily="-65" charset="0"/>
                                <a:ea typeface="+mn-ea"/>
                                <a:cs typeface="+mn-cs"/>
                              </a:defRPr>
                            </a:lvl8pPr>
                            <a:lvl9pPr marL="3657600" algn="l" defTabSz="457200" rtl="0" eaLnBrk="1" latinLnBrk="0" hangingPunct="1">
                              <a:defRPr kern="1200">
                                <a:solidFill>
                                  <a:schemeClr val="tx1"/>
                                </a:solidFill>
                                <a:latin typeface="Arial" pitchFamily="-65" charset="0"/>
                                <a:ea typeface="+mn-ea"/>
                                <a:cs typeface="+mn-cs"/>
                              </a:defRPr>
                            </a:lvl9pPr>
                          </a:lstStyle>
                          <a:p>
                            <a:r>
                              <a:rPr lang="en-US" sz="1600" dirty="0" smtClean="0"/>
                              <a:t>Signal</a:t>
                            </a:r>
                            <a:endParaRPr lang="en-US" sz="1600" dirty="0"/>
                          </a:p>
                        </a:txBody>
                        <a:useSpRect/>
                      </a:txSp>
                    </a:sp>
                  </a:grpSp>
                </lc:lockedCanvas>
              </a:graphicData>
            </a:graphic>
          </wp:inline>
        </w:drawing>
      </w:r>
    </w:p>
    <w:p w:rsidR="00404448" w:rsidRPr="006417CF" w:rsidRDefault="00404448" w:rsidP="00404448">
      <w:pPr>
        <w:pStyle w:val="Caption"/>
      </w:pPr>
      <w:bookmarkStart w:id="251" w:name="_Ref105644525"/>
      <w:bookmarkStart w:id="252" w:name="_Toc322942278"/>
      <w:r>
        <w:t xml:space="preserve">Figure </w:t>
      </w:r>
      <w:fldSimple w:instr=" SEQ Figure \* ARABIC ">
        <w:r w:rsidR="000D2EB4">
          <w:rPr>
            <w:noProof/>
          </w:rPr>
          <w:t>48</w:t>
        </w:r>
      </w:fldSimple>
      <w:bookmarkEnd w:id="251"/>
      <w:r>
        <w:t>:  Example Moiré-afflicted photometric time series extracted from columns 41-43 of the Virtual smear region dark TVAC data, channel 9.2.  Abscissa is Long Cadence index.  From Kolodziejczak, 2008.</w:t>
      </w:r>
      <w:bookmarkEnd w:id="252"/>
    </w:p>
    <w:p w:rsidR="00404448" w:rsidRDefault="00404448" w:rsidP="00404448">
      <w:pPr>
        <w:pStyle w:val="Heading3"/>
      </w:pPr>
      <w:bookmarkStart w:id="253" w:name="_Toc322942214"/>
      <w:r>
        <w:t>Mitigation</w:t>
      </w:r>
      <w:bookmarkEnd w:id="253"/>
    </w:p>
    <w:p w:rsidR="00404448" w:rsidRPr="00B75F38" w:rsidRDefault="00D44644" w:rsidP="00404448">
      <w:r>
        <w:t>M</w:t>
      </w:r>
      <w:r w:rsidR="003D3973">
        <w:t xml:space="preserve">itigation </w:t>
      </w:r>
      <w:r w:rsidR="002F5B4D">
        <w:t xml:space="preserve">in the pipeline </w:t>
      </w:r>
      <w:r w:rsidR="00404448">
        <w:t>consist</w:t>
      </w:r>
      <w:r w:rsidR="003D3973">
        <w:t>s</w:t>
      </w:r>
      <w:r w:rsidR="002F5B4D">
        <w:t xml:space="preserve"> of </w:t>
      </w:r>
      <w:r w:rsidR="00404448">
        <w:t xml:space="preserve">identifying Moiré </w:t>
      </w:r>
      <w:r w:rsidR="00C97640">
        <w:t xml:space="preserve">and Rolling Bands </w:t>
      </w:r>
      <w:r w:rsidR="00404448">
        <w:t xml:space="preserve">and flagging the afflicted target/cadence </w:t>
      </w:r>
      <w:r w:rsidR="003D3973">
        <w:t xml:space="preserve">combinations in the data stream using the methods of </w:t>
      </w:r>
      <w:r w:rsidR="00C97640" w:rsidRPr="00C97640">
        <w:t xml:space="preserve">Kolodziejczak </w:t>
      </w:r>
      <w:r w:rsidR="00C97640" w:rsidRPr="002F5B4D">
        <w:rPr>
          <w:i/>
        </w:rPr>
        <w:t>et al.</w:t>
      </w:r>
      <w:r w:rsidR="00C97640" w:rsidRPr="00C97640">
        <w:t xml:space="preserve"> </w:t>
      </w:r>
      <w:r w:rsidR="00C97640">
        <w:t>(</w:t>
      </w:r>
      <w:r w:rsidR="00C97640" w:rsidRPr="00C97640">
        <w:t>2010</w:t>
      </w:r>
      <w:r w:rsidR="00C97640">
        <w:t>).</w:t>
      </w:r>
      <w:r w:rsidR="00404448">
        <w:t xml:space="preserve">  Hence, the targets in the Moiré regions shown in </w:t>
      </w:r>
      <w:r w:rsidR="004C78B9">
        <w:fldChar w:fldCharType="begin"/>
      </w:r>
      <w:r w:rsidR="00C903B6">
        <w:instrText xml:space="preserve"> REF _Ref105581824 \h </w:instrText>
      </w:r>
      <w:r w:rsidR="004C78B9">
        <w:fldChar w:fldCharType="separate"/>
      </w:r>
      <w:r w:rsidR="000D2EB4">
        <w:t xml:space="preserve">Figure </w:t>
      </w:r>
      <w:r w:rsidR="000D2EB4">
        <w:rPr>
          <w:noProof/>
        </w:rPr>
        <w:t>45</w:t>
      </w:r>
      <w:r w:rsidR="004C78B9">
        <w:fldChar w:fldCharType="end"/>
      </w:r>
      <w:r w:rsidR="00404448">
        <w:t xml:space="preserve"> and </w:t>
      </w:r>
      <w:r w:rsidR="004C78B9">
        <w:fldChar w:fldCharType="begin"/>
      </w:r>
      <w:r w:rsidR="00C903B6">
        <w:instrText xml:space="preserve"> REF _Ref105641967 \h </w:instrText>
      </w:r>
      <w:r w:rsidR="004C78B9">
        <w:fldChar w:fldCharType="separate"/>
      </w:r>
      <w:r w:rsidR="000D2EB4">
        <w:t xml:space="preserve">Figure </w:t>
      </w:r>
      <w:r w:rsidR="000D2EB4">
        <w:rPr>
          <w:noProof/>
        </w:rPr>
        <w:t>47</w:t>
      </w:r>
      <w:r w:rsidR="004C78B9">
        <w:fldChar w:fldCharType="end"/>
      </w:r>
      <w:r w:rsidR="00404448">
        <w:t xml:space="preserve"> would be flagged and their threshold crossing events considered suspect.  </w:t>
      </w:r>
      <w:r>
        <w:t>See KAM Table 2-3.</w:t>
      </w:r>
    </w:p>
    <w:p w:rsidR="00404448" w:rsidRPr="00394F88" w:rsidRDefault="00404448" w:rsidP="00404448">
      <w:pPr>
        <w:pStyle w:val="Heading2"/>
        <w:rPr>
          <w:sz w:val="22"/>
        </w:rPr>
      </w:pPr>
      <w:bookmarkStart w:id="254" w:name="_Ref105152524"/>
      <w:bookmarkStart w:id="255" w:name="_Toc322942215"/>
      <w:r w:rsidRPr="00394F88">
        <w:rPr>
          <w:sz w:val="22"/>
        </w:rPr>
        <w:t>Long Cadence Artifact Removal Pixels (ARPs)</w:t>
      </w:r>
      <w:bookmarkEnd w:id="254"/>
      <w:bookmarkEnd w:id="255"/>
    </w:p>
    <w:p w:rsidR="00404448" w:rsidRDefault="00404448" w:rsidP="00404448">
      <w:r>
        <w:t>Before the Artifacts were discovered, a small number of pixels, called Photometer Performance Assessment (PPA) pixels, were assigned as LC targets to measure and trend basic detector properties, on the assumption that these properties were spatially and temporally stable.  The spatial and temporal variation of Artifacts requires a much larger set of pixels, called the Artifact RemovaI pixels (ARPs), to identify or remove these artifacts on a cadence-by-cadence basis.  In combination with the LCC data, ARPs will characteri</w:t>
      </w:r>
      <w:r w:rsidR="004C4C72">
        <w:t>ze FGS crosstalk and undershoot</w:t>
      </w:r>
      <w:r>
        <w:t xml:space="preserve">, and remove them for each point in time, while increasing the per-pixel noise as a result of these corrections by &lt;5%.  The PPA pixels are a subset of the ARPs. The total number of ARPs per channel is 3355, or roughly 5.2% of the average number of LC pixels available per channel.  The same ARPs are also used in the Reverse Clock (RC) Target Definition Table (TDT).  In addition, the RC TDT contains pixels used only in RC, called the RC-only pixels.  The set union of ARPs and RC-only is the RC TDT, and the intersection of ARPs and RC-only is null.  See KADN-26205 </w:t>
      </w:r>
      <w:r w:rsidR="003D503A">
        <w:t xml:space="preserve">(Van Cleve, 2008) </w:t>
      </w:r>
      <w:r>
        <w:t>for more detail, including images of the pixel sets.</w:t>
      </w:r>
    </w:p>
    <w:p w:rsidR="00404448" w:rsidRPr="00B75F38" w:rsidRDefault="00404448" w:rsidP="00404448"/>
    <w:p w:rsidR="00404448" w:rsidRDefault="00404448" w:rsidP="00404448">
      <w:pPr>
        <w:pStyle w:val="Heading1"/>
      </w:pPr>
      <w:bookmarkStart w:id="256" w:name="_Toc322942216"/>
      <w:r>
        <w:t>Observing with Kepler</w:t>
      </w:r>
      <w:bookmarkEnd w:id="256"/>
    </w:p>
    <w:p w:rsidR="00404448" w:rsidRPr="00394F88" w:rsidRDefault="00404448" w:rsidP="00404448">
      <w:pPr>
        <w:pStyle w:val="Heading2"/>
        <w:rPr>
          <w:sz w:val="22"/>
        </w:rPr>
      </w:pPr>
      <w:bookmarkStart w:id="257" w:name="_Ref105498584"/>
      <w:bookmarkStart w:id="258" w:name="_Toc322942217"/>
      <w:r w:rsidRPr="00394F88">
        <w:rPr>
          <w:sz w:val="22"/>
        </w:rPr>
        <w:t>Flight System Modes and States</w:t>
      </w:r>
      <w:bookmarkEnd w:id="257"/>
      <w:bookmarkEnd w:id="258"/>
    </w:p>
    <w:p w:rsidR="00404448" w:rsidRDefault="00404448" w:rsidP="00404448">
      <w:r>
        <w:t>This Section</w:t>
      </w:r>
      <w:r w:rsidRPr="001C7867">
        <w:t xml:space="preserve"> </w:t>
      </w:r>
      <w:r>
        <w:t xml:space="preserve">summarizes </w:t>
      </w:r>
      <w:r w:rsidRPr="001C7867">
        <w:t xml:space="preserve">the modes, states, and mode / state transitions that occur on the </w:t>
      </w:r>
      <w:r w:rsidR="004A3FBE" w:rsidRPr="004A3FBE">
        <w:rPr>
          <w:i/>
        </w:rPr>
        <w:t>Kepler</w:t>
      </w:r>
      <w:r w:rsidRPr="001C7867">
        <w:t xml:space="preserve"> Flight Segment. The intent is to show not only Flight Segment </w:t>
      </w:r>
      <w:r w:rsidR="005A694C">
        <w:t xml:space="preserve">(FS) </w:t>
      </w:r>
      <w:r w:rsidRPr="001C7867">
        <w:t>modes, but also subsystem modes or states that correspond to Flight Segment Modes.</w:t>
      </w:r>
      <w:r>
        <w:t xml:space="preserve">  The purpose is to give the observer an idea of how </w:t>
      </w:r>
      <w:r w:rsidR="004A3FBE" w:rsidRPr="004A3FBE">
        <w:rPr>
          <w:i/>
        </w:rPr>
        <w:t>Kepler</w:t>
      </w:r>
      <w:r>
        <w:t xml:space="preserve"> operates in order to better</w:t>
      </w:r>
      <w:r w:rsidR="004C4C72">
        <w:t xml:space="preserve"> understand the data</w:t>
      </w:r>
      <w:r>
        <w:t>. SP0039-607 provides a much more detailed discussion.</w:t>
      </w:r>
    </w:p>
    <w:p w:rsidR="00404448" w:rsidRDefault="00404448" w:rsidP="00404448">
      <w:r>
        <w:t xml:space="preserve">First, some definitions.  A </w:t>
      </w:r>
      <w:r w:rsidR="00AC7FD0" w:rsidRPr="00AC7FD0">
        <w:rPr>
          <w:i/>
        </w:rPr>
        <w:t>Flight Segment</w:t>
      </w:r>
      <w:r w:rsidR="00AC7FD0">
        <w:t xml:space="preserve"> </w:t>
      </w:r>
      <w:r w:rsidRPr="002C10A1">
        <w:rPr>
          <w:i/>
        </w:rPr>
        <w:t>Mode</w:t>
      </w:r>
      <w:r w:rsidR="00837B17">
        <w:t xml:space="preserve"> is defined as a</w:t>
      </w:r>
      <w:r>
        <w:t xml:space="preserve"> unique function performed by the Flight Segment. Activities that drive diffe</w:t>
      </w:r>
      <w:r w:rsidR="00AC7FD0">
        <w:t xml:space="preserve">rences in power consumption, attitude control, and data collection </w:t>
      </w:r>
      <w:r>
        <w:t xml:space="preserve">are typically different </w:t>
      </w:r>
      <w:r w:rsidR="00AC7FD0">
        <w:t xml:space="preserve">Flight Segment </w:t>
      </w:r>
      <w:r>
        <w:t xml:space="preserve">Modes. </w:t>
      </w:r>
      <w:r w:rsidR="005A694C">
        <w:t xml:space="preserve">A FS Mode is defined by a set of subsystem modes or states, though there are a few instances in which </w:t>
      </w:r>
      <w:r>
        <w:t xml:space="preserve">a subsystem condition </w:t>
      </w:r>
      <w:r w:rsidR="005A694C">
        <w:t xml:space="preserve">can change without changing the FS mode </w:t>
      </w:r>
      <w:r w:rsidR="007046E1">
        <w:t>(i.e., telecomm comes on)</w:t>
      </w:r>
      <w:r>
        <w:t xml:space="preserve">.  A </w:t>
      </w:r>
      <w:r w:rsidR="00AC7FD0" w:rsidRPr="00AC7FD0">
        <w:rPr>
          <w:i/>
        </w:rPr>
        <w:t>Subsystem Mode</w:t>
      </w:r>
      <w:r w:rsidR="00AC7FD0">
        <w:t xml:space="preserve"> or </w:t>
      </w:r>
      <w:r w:rsidRPr="002C10A1">
        <w:rPr>
          <w:i/>
        </w:rPr>
        <w:t>State</w:t>
      </w:r>
      <w:r w:rsidR="007D200F">
        <w:t xml:space="preserve"> is a </w:t>
      </w:r>
      <w:r>
        <w:t xml:space="preserve">set of </w:t>
      </w:r>
      <w:r w:rsidR="007D200F">
        <w:t xml:space="preserve">subsystem </w:t>
      </w:r>
      <w:r>
        <w:t xml:space="preserve">conditions that exist within a </w:t>
      </w:r>
      <w:r w:rsidR="00AC7FD0">
        <w:t xml:space="preserve">Flight Segment </w:t>
      </w:r>
      <w:r w:rsidR="007046E1">
        <w:t>Mode; for example, whether the ADCS is using star trackers, FGS, or the Sun to determine attitude.</w:t>
      </w:r>
      <w:r>
        <w:t xml:space="preserve"> An </w:t>
      </w:r>
      <w:r w:rsidRPr="002C10A1">
        <w:rPr>
          <w:i/>
        </w:rPr>
        <w:t>autonomous transition</w:t>
      </w:r>
      <w:r>
        <w:t xml:space="preserve"> is that which is internal to the Flight Segment, and does not require intervention from the ground.</w:t>
      </w:r>
    </w:p>
    <w:p w:rsidR="00404448" w:rsidRDefault="00404448" w:rsidP="00404448">
      <w:r>
        <w:t>The Flight Segment modes of most interest to observers are:</w:t>
      </w:r>
    </w:p>
    <w:p w:rsidR="00404448" w:rsidRDefault="00404448" w:rsidP="00404448">
      <w:pPr>
        <w:ind w:left="720"/>
      </w:pPr>
      <w:r>
        <w:t>1.  Planet Find.  The science data collection mode, in which LCs and SCs are generated and the ADCS and FGS have attained their required fine pointing s</w:t>
      </w:r>
      <w:r w:rsidR="00A8342E">
        <w:t xml:space="preserve">tability.  During </w:t>
      </w:r>
      <w:r>
        <w:t>thruster firings, the FS transitions to two other closely related modes, during which data is collected as during Planet Find, but tagged as suspect because of the other activities going on aboard the spacecraft.</w:t>
      </w:r>
    </w:p>
    <w:p w:rsidR="00404448" w:rsidRDefault="00404448" w:rsidP="00404448">
      <w:pPr>
        <w:ind w:left="720"/>
      </w:pPr>
      <w:r>
        <w:t xml:space="preserve">2.  Photometer Maintenance, in which </w:t>
      </w:r>
      <w:r w:rsidR="00D70AA4">
        <w:t xml:space="preserve">science </w:t>
      </w:r>
      <w:r>
        <w:t>FFIs m</w:t>
      </w:r>
      <w:r w:rsidR="00D70AA4">
        <w:t xml:space="preserve">ay be collected for calibration or FGS FFIs can be collected for ADCS </w:t>
      </w:r>
      <w:r w:rsidR="00175204">
        <w:t xml:space="preserve">or LDE </w:t>
      </w:r>
      <w:r w:rsidR="00D70AA4">
        <w:t>diagnostics.</w:t>
      </w:r>
    </w:p>
    <w:p w:rsidR="00404448" w:rsidRDefault="00404448" w:rsidP="00404448">
      <w:pPr>
        <w:ind w:left="720"/>
      </w:pPr>
      <w:r>
        <w:t>3.  Reverse Clock, in which reverse-clocked LCs (</w:t>
      </w:r>
      <w:r w:rsidR="00E607E6">
        <w:t>§</w:t>
      </w:r>
      <w:r w:rsidR="004C78B9">
        <w:fldChar w:fldCharType="begin"/>
      </w:r>
      <w:r w:rsidR="00C903B6">
        <w:instrText xml:space="preserve"> REF _Ref205891608 \r \h </w:instrText>
      </w:r>
      <w:r w:rsidR="004C78B9">
        <w:fldChar w:fldCharType="separate"/>
      </w:r>
      <w:r w:rsidR="000D2EB4">
        <w:t>5</w:t>
      </w:r>
      <w:r w:rsidR="004C78B9">
        <w:fldChar w:fldCharType="end"/>
      </w:r>
      <w:r>
        <w:t>) may be collected for calibration or noise trending purposes.  Since the FGS are reverse-clocked at the same time, this cannot be done in Fine Point.</w:t>
      </w:r>
    </w:p>
    <w:p w:rsidR="00404448" w:rsidRDefault="00404448" w:rsidP="00404448">
      <w:pPr>
        <w:ind w:left="720"/>
      </w:pPr>
      <w:r>
        <w:t xml:space="preserve">4.  Safe Mode, in which the SSR remains powered on and previously collected data is retained for future downlink after Safe Mode recovery.  </w:t>
      </w:r>
      <w:r w:rsidR="0014201D">
        <w:t>Historical Safe Modes are shown</w:t>
      </w:r>
      <w:r w:rsidR="004665AB">
        <w:t xml:space="preserve"> in the Mission Timeline in </w:t>
      </w:r>
      <w:r w:rsidR="0014201D">
        <w:t>KDCH §4.1.</w:t>
      </w:r>
    </w:p>
    <w:p w:rsidR="00404448" w:rsidRDefault="00404448" w:rsidP="00404448">
      <w:pPr>
        <w:ind w:left="720"/>
      </w:pPr>
      <w:r>
        <w:t xml:space="preserve">5.  Emergency Mode, in which the SSR is powered off and all on-board science data is lost.  </w:t>
      </w:r>
      <w:r w:rsidR="004A3FBE" w:rsidRPr="004A3FBE">
        <w:rPr>
          <w:i/>
        </w:rPr>
        <w:t>Kepler</w:t>
      </w:r>
      <w:r w:rsidR="00AB4EB6">
        <w:t xml:space="preserve"> did </w:t>
      </w:r>
      <w:r>
        <w:t>not ent</w:t>
      </w:r>
      <w:r w:rsidR="00AB4EB6">
        <w:t>ered Emergency Mode during its primary mission</w:t>
      </w:r>
      <w:r>
        <w:t>.</w:t>
      </w:r>
    </w:p>
    <w:p w:rsidR="00404448" w:rsidRDefault="00404448" w:rsidP="00404448">
      <w:r>
        <w:t xml:space="preserve">These states, and many others used for nonscience operations, are shown in </w:t>
      </w:r>
      <w:r w:rsidR="004C78B9">
        <w:fldChar w:fldCharType="begin"/>
      </w:r>
      <w:r w:rsidR="00C903B6">
        <w:instrText xml:space="preserve"> REF _Ref205891841 \h </w:instrText>
      </w:r>
      <w:r w:rsidR="004C78B9">
        <w:fldChar w:fldCharType="separate"/>
      </w:r>
      <w:r w:rsidR="000D2EB4">
        <w:t xml:space="preserve">Figure </w:t>
      </w:r>
      <w:r w:rsidR="000D2EB4">
        <w:rPr>
          <w:noProof/>
        </w:rPr>
        <w:t>49</w:t>
      </w:r>
      <w:r w:rsidR="004C78B9">
        <w:fldChar w:fldCharType="end"/>
      </w:r>
      <w:r>
        <w:t>.</w:t>
      </w:r>
    </w:p>
    <w:p w:rsidR="00404448" w:rsidRDefault="00404448" w:rsidP="00404448">
      <w:r>
        <w:t xml:space="preserve">Operations are relatively simple compared to, say, Hubble, since </w:t>
      </w:r>
      <w:r w:rsidR="004A3FBE" w:rsidRPr="004A3FBE">
        <w:rPr>
          <w:i/>
        </w:rPr>
        <w:t>Kepler</w:t>
      </w:r>
      <w:r w:rsidR="00FA023C">
        <w:t xml:space="preserve"> is</w:t>
      </w:r>
      <w:r>
        <w:t xml:space="preserve"> in Planet Find mode for 30 days at a time between downlinks.  </w:t>
      </w:r>
      <w:r w:rsidR="004A3FBE" w:rsidRPr="004A3FBE">
        <w:rPr>
          <w:i/>
        </w:rPr>
        <w:t>Kepler</w:t>
      </w:r>
      <w:r>
        <w:t xml:space="preserve"> is designed to continuously perform one scientific measurement, pointed at just one place on the sky.  Less than 10% of the time is budgeted to losses from desaturations, downlinks, and safe mode recoveries.</w:t>
      </w:r>
    </w:p>
    <w:p w:rsidR="00404448" w:rsidRDefault="00404448" w:rsidP="00404448">
      <w:r>
        <w:t xml:space="preserve"> </w:t>
      </w:r>
    </w:p>
    <w:p w:rsidR="00404448" w:rsidRDefault="000518AB" w:rsidP="00404448">
      <w:pPr>
        <w:keepNext/>
      </w:pPr>
      <w:r>
        <w:rPr>
          <w:noProof/>
        </w:rPr>
        <w:drawing>
          <wp:inline distT="0" distB="0" distL="0" distR="0">
            <wp:extent cx="6620510" cy="4763135"/>
            <wp:effectExtent l="25400" t="0" r="889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2"/>
                    <a:srcRect/>
                    <a:stretch>
                      <a:fillRect/>
                    </a:stretch>
                  </pic:blipFill>
                  <pic:spPr bwMode="auto">
                    <a:xfrm>
                      <a:off x="0" y="0"/>
                      <a:ext cx="6620510" cy="4763135"/>
                    </a:xfrm>
                    <a:prstGeom prst="rect">
                      <a:avLst/>
                    </a:prstGeom>
                    <a:noFill/>
                    <a:ln w="9525">
                      <a:noFill/>
                      <a:miter lim="800000"/>
                      <a:headEnd/>
                      <a:tailEnd/>
                    </a:ln>
                  </pic:spPr>
                </pic:pic>
              </a:graphicData>
            </a:graphic>
          </wp:inline>
        </w:drawing>
      </w:r>
    </w:p>
    <w:p w:rsidR="00404448" w:rsidRDefault="00404448" w:rsidP="00404448">
      <w:pPr>
        <w:pStyle w:val="Caption"/>
        <w:outlineLvl w:val="0"/>
      </w:pPr>
      <w:bookmarkStart w:id="259" w:name="_Ref205891841"/>
      <w:bookmarkStart w:id="260" w:name="_Toc322942279"/>
      <w:r>
        <w:t xml:space="preserve">Figure </w:t>
      </w:r>
      <w:fldSimple w:instr=" SEQ Figure \* ARABIC ">
        <w:r w:rsidR="000D2EB4">
          <w:rPr>
            <w:noProof/>
          </w:rPr>
          <w:t>49</w:t>
        </w:r>
      </w:fldSimple>
      <w:bookmarkEnd w:id="259"/>
      <w:r>
        <w:t>:  Mode and Transition Diagram from SP0039-607.</w:t>
      </w:r>
      <w:bookmarkEnd w:id="260"/>
    </w:p>
    <w:p w:rsidR="00404448" w:rsidRPr="0087409D" w:rsidRDefault="00404448" w:rsidP="00404448"/>
    <w:p w:rsidR="00404448" w:rsidRPr="00394F88" w:rsidRDefault="00404448" w:rsidP="00404448">
      <w:pPr>
        <w:pStyle w:val="Heading2"/>
        <w:rPr>
          <w:sz w:val="22"/>
        </w:rPr>
      </w:pPr>
      <w:bookmarkStart w:id="261" w:name="_Toc322942218"/>
      <w:r w:rsidRPr="00394F88">
        <w:rPr>
          <w:sz w:val="22"/>
        </w:rPr>
        <w:t>Default Operating Parameters</w:t>
      </w:r>
      <w:bookmarkEnd w:id="261"/>
      <w:r w:rsidRPr="00394F88">
        <w:rPr>
          <w:sz w:val="22"/>
        </w:rPr>
        <w:t xml:space="preserve"> </w:t>
      </w:r>
    </w:p>
    <w:p w:rsidR="00404448" w:rsidRDefault="00404448" w:rsidP="00404448">
      <w:pPr>
        <w:pStyle w:val="Heading3"/>
      </w:pPr>
      <w:bookmarkStart w:id="262" w:name="_Toc322942219"/>
      <w:r>
        <w:t>LDE Configuration</w:t>
      </w:r>
      <w:bookmarkEnd w:id="262"/>
    </w:p>
    <w:p w:rsidR="00404448" w:rsidRDefault="00404448" w:rsidP="00404448">
      <w:r>
        <w:t xml:space="preserve">The three LDE operating parameters of most interest to observers are the per-frame integration time (INT), the number of frames per SC (parameter name also SC), and the number of SCs per LC (parameter name LC). These are set by the </w:t>
      </w:r>
      <w:r w:rsidRPr="006E6F2B">
        <w:t>FDMCFGLDE</w:t>
      </w:r>
      <w:r>
        <w:t xml:space="preserve"> command, with low, flight default, and high values shown in </w:t>
      </w:r>
      <w:r w:rsidR="004C78B9">
        <w:fldChar w:fldCharType="begin"/>
      </w:r>
      <w:r w:rsidR="00C903B6">
        <w:instrText xml:space="preserve"> REF _Ref109037883 \h </w:instrText>
      </w:r>
      <w:r w:rsidR="004C78B9">
        <w:fldChar w:fldCharType="separate"/>
      </w:r>
      <w:r w:rsidR="000D2EB4">
        <w:t xml:space="preserve">Table </w:t>
      </w:r>
      <w:r w:rsidR="000D2EB4">
        <w:rPr>
          <w:noProof/>
        </w:rPr>
        <w:t>10</w:t>
      </w:r>
      <w:r w:rsidR="004C78B9">
        <w:fldChar w:fldCharType="end"/>
      </w:r>
      <w:r>
        <w:t>.  The i</w:t>
      </w:r>
      <w:r w:rsidR="00A8342E">
        <w:t>ntegration time is an integer number of FGS frame periods (</w:t>
      </w:r>
      <w:r>
        <w:t>103.79 ms</w:t>
      </w:r>
      <w:r w:rsidR="00A8342E">
        <w:t>)</w:t>
      </w:r>
      <w:r w:rsidR="007E00D7">
        <w:t>, with</w:t>
      </w:r>
      <w:r w:rsidRPr="006A6A4D">
        <w:t xml:space="preserve"> valid </w:t>
      </w:r>
      <w:r w:rsidR="007E00D7">
        <w:t xml:space="preserve">integration time </w:t>
      </w:r>
      <w:r w:rsidRPr="006A6A4D">
        <w:t xml:space="preserve">values </w:t>
      </w:r>
      <w:r w:rsidR="007E00D7">
        <w:t xml:space="preserve">between </w:t>
      </w:r>
      <w:r w:rsidRPr="006A6A4D">
        <w:t>2.6</w:t>
      </w:r>
      <w:r w:rsidR="00A8342E">
        <w:t>0</w:t>
      </w:r>
      <w:r w:rsidRPr="006A6A4D">
        <w:t xml:space="preserve"> seconds</w:t>
      </w:r>
      <w:r w:rsidR="007E00D7">
        <w:t xml:space="preserve"> to 7.99</w:t>
      </w:r>
      <w:r w:rsidRPr="006A6A4D">
        <w:t xml:space="preserve"> seconds.   </w:t>
      </w:r>
      <w:r>
        <w:t xml:space="preserve">The value of INT selected for flight is 56, giving an integration time of 6.02 s and a frame period of 6.54 s. Frame time and number of frames coadded can also be set for FFIs </w:t>
      </w:r>
      <w:r w:rsidR="002429FB">
        <w:t>during calibration observations, but in practice have been identical to the LC integration parameters.</w:t>
      </w:r>
    </w:p>
    <w:p w:rsidR="00404448" w:rsidRDefault="00404448" w:rsidP="00404448">
      <w:pPr>
        <w:pStyle w:val="Caption"/>
        <w:keepNext/>
        <w:outlineLvl w:val="0"/>
      </w:pPr>
      <w:bookmarkStart w:id="263" w:name="_Ref109037883"/>
      <w:bookmarkStart w:id="264" w:name="_Toc322942289"/>
      <w:r>
        <w:t xml:space="preserve">Table </w:t>
      </w:r>
      <w:fldSimple w:instr=" SEQ Table \* ARABIC ">
        <w:r w:rsidR="000D2EB4">
          <w:rPr>
            <w:noProof/>
          </w:rPr>
          <w:t>10</w:t>
        </w:r>
      </w:fldSimple>
      <w:bookmarkEnd w:id="263"/>
      <w:r>
        <w:t>:  Parameters for the LDE configuration command FDMCFGLDE.</w:t>
      </w:r>
      <w:bookmarkEnd w:id="264"/>
    </w:p>
    <w:tbl>
      <w:tblPr>
        <w:tblW w:w="0" w:type="auto"/>
        <w:tblInd w:w="78" w:type="dxa"/>
        <w:tblLayout w:type="fixed"/>
        <w:tblLook w:val="0000"/>
      </w:tblPr>
      <w:tblGrid>
        <w:gridCol w:w="1200"/>
        <w:gridCol w:w="821"/>
        <w:gridCol w:w="1429"/>
        <w:gridCol w:w="685"/>
      </w:tblGrid>
      <w:tr w:rsidR="00404448" w:rsidRPr="006A6A4D">
        <w:trPr>
          <w:trHeight w:val="247"/>
          <w:tblHeader/>
        </w:trPr>
        <w:tc>
          <w:tcPr>
            <w:tcW w:w="1200" w:type="dxa"/>
            <w:tcBorders>
              <w:top w:val="single" w:sz="6" w:space="0" w:color="auto"/>
              <w:left w:val="single" w:sz="6" w:space="0" w:color="auto"/>
              <w:bottom w:val="single" w:sz="6" w:space="0" w:color="auto"/>
              <w:right w:val="single" w:sz="6" w:space="0" w:color="auto"/>
            </w:tcBorders>
          </w:tcPr>
          <w:p w:rsidR="00404448" w:rsidRPr="006A6A4D" w:rsidRDefault="00404448" w:rsidP="00404448">
            <w:pPr>
              <w:autoSpaceDE w:val="0"/>
              <w:autoSpaceDN w:val="0"/>
              <w:adjustRightInd w:val="0"/>
              <w:spacing w:after="0"/>
              <w:rPr>
                <w:rFonts w:eastAsia="Times New Roman" w:cs="Arial"/>
                <w:color w:val="000000"/>
              </w:rPr>
            </w:pPr>
            <w:r w:rsidRPr="006A6A4D">
              <w:rPr>
                <w:rFonts w:eastAsia="Times New Roman" w:cs="Arial"/>
                <w:color w:val="000000"/>
              </w:rPr>
              <w:t>Parameter</w:t>
            </w:r>
          </w:p>
        </w:tc>
        <w:tc>
          <w:tcPr>
            <w:tcW w:w="821" w:type="dxa"/>
            <w:tcBorders>
              <w:top w:val="single" w:sz="6" w:space="0" w:color="auto"/>
              <w:left w:val="single" w:sz="6" w:space="0" w:color="auto"/>
              <w:bottom w:val="single" w:sz="6" w:space="0" w:color="auto"/>
              <w:right w:val="single" w:sz="6" w:space="0" w:color="auto"/>
            </w:tcBorders>
          </w:tcPr>
          <w:p w:rsidR="00404448" w:rsidRPr="006A6A4D" w:rsidRDefault="00404448" w:rsidP="00404448">
            <w:pPr>
              <w:autoSpaceDE w:val="0"/>
              <w:autoSpaceDN w:val="0"/>
              <w:adjustRightInd w:val="0"/>
              <w:spacing w:after="0"/>
              <w:rPr>
                <w:rFonts w:eastAsia="Times New Roman" w:cs="Arial"/>
                <w:color w:val="000000"/>
              </w:rPr>
            </w:pPr>
            <w:r w:rsidRPr="006A6A4D">
              <w:rPr>
                <w:rFonts w:eastAsia="Times New Roman" w:cs="Arial"/>
                <w:color w:val="000000"/>
              </w:rPr>
              <w:t>Low</w:t>
            </w:r>
          </w:p>
        </w:tc>
        <w:tc>
          <w:tcPr>
            <w:tcW w:w="1429" w:type="dxa"/>
            <w:tcBorders>
              <w:top w:val="single" w:sz="6" w:space="0" w:color="auto"/>
              <w:left w:val="single" w:sz="6" w:space="0" w:color="auto"/>
              <w:bottom w:val="single" w:sz="6" w:space="0" w:color="auto"/>
              <w:right w:val="single" w:sz="6" w:space="0" w:color="auto"/>
            </w:tcBorders>
          </w:tcPr>
          <w:p w:rsidR="00404448" w:rsidRPr="006A6A4D" w:rsidRDefault="00404448" w:rsidP="00404448">
            <w:pPr>
              <w:autoSpaceDE w:val="0"/>
              <w:autoSpaceDN w:val="0"/>
              <w:adjustRightInd w:val="0"/>
              <w:spacing w:after="0"/>
              <w:rPr>
                <w:rFonts w:eastAsia="Times New Roman" w:cs="Arial"/>
                <w:color w:val="000000"/>
              </w:rPr>
            </w:pPr>
            <w:r>
              <w:rPr>
                <w:rFonts w:eastAsia="Times New Roman" w:cs="Arial"/>
                <w:color w:val="000000"/>
              </w:rPr>
              <w:t>Flight Nominal Value</w:t>
            </w:r>
          </w:p>
        </w:tc>
        <w:tc>
          <w:tcPr>
            <w:tcW w:w="685" w:type="dxa"/>
            <w:tcBorders>
              <w:top w:val="single" w:sz="6" w:space="0" w:color="auto"/>
              <w:left w:val="single" w:sz="6" w:space="0" w:color="auto"/>
              <w:bottom w:val="single" w:sz="6" w:space="0" w:color="auto"/>
              <w:right w:val="single" w:sz="6" w:space="0" w:color="auto"/>
            </w:tcBorders>
          </w:tcPr>
          <w:p w:rsidR="00404448" w:rsidRPr="006A6A4D" w:rsidRDefault="00404448" w:rsidP="00404448">
            <w:pPr>
              <w:autoSpaceDE w:val="0"/>
              <w:autoSpaceDN w:val="0"/>
              <w:adjustRightInd w:val="0"/>
              <w:spacing w:after="0"/>
              <w:rPr>
                <w:rFonts w:eastAsia="Times New Roman" w:cs="Arial"/>
                <w:color w:val="000000"/>
              </w:rPr>
            </w:pPr>
            <w:r w:rsidRPr="006A6A4D">
              <w:rPr>
                <w:rFonts w:eastAsia="Times New Roman" w:cs="Arial"/>
                <w:color w:val="000000"/>
              </w:rPr>
              <w:t>High</w:t>
            </w:r>
          </w:p>
        </w:tc>
      </w:tr>
      <w:tr w:rsidR="00404448" w:rsidRPr="006A6A4D">
        <w:trPr>
          <w:trHeight w:val="247"/>
        </w:trPr>
        <w:tc>
          <w:tcPr>
            <w:tcW w:w="1200" w:type="dxa"/>
            <w:tcBorders>
              <w:top w:val="single" w:sz="6" w:space="0" w:color="auto"/>
              <w:left w:val="single" w:sz="6" w:space="0" w:color="auto"/>
              <w:bottom w:val="single" w:sz="6" w:space="0" w:color="auto"/>
              <w:right w:val="single" w:sz="6" w:space="0" w:color="auto"/>
            </w:tcBorders>
            <w:shd w:val="solid" w:color="FFFFFF" w:fill="auto"/>
          </w:tcPr>
          <w:p w:rsidR="00404448" w:rsidRPr="006A6A4D" w:rsidRDefault="00404448" w:rsidP="00404448">
            <w:pPr>
              <w:autoSpaceDE w:val="0"/>
              <w:autoSpaceDN w:val="0"/>
              <w:adjustRightInd w:val="0"/>
              <w:spacing w:after="0"/>
              <w:rPr>
                <w:rFonts w:eastAsia="Times New Roman" w:cs="Arial"/>
                <w:color w:val="000000"/>
              </w:rPr>
            </w:pPr>
            <w:r w:rsidRPr="006A6A4D">
              <w:rPr>
                <w:rFonts w:eastAsia="Times New Roman" w:cs="Arial"/>
                <w:color w:val="000000"/>
              </w:rPr>
              <w:t>INT</w:t>
            </w:r>
          </w:p>
        </w:tc>
        <w:tc>
          <w:tcPr>
            <w:tcW w:w="821" w:type="dxa"/>
            <w:tcBorders>
              <w:top w:val="single" w:sz="6" w:space="0" w:color="auto"/>
              <w:left w:val="single" w:sz="6" w:space="0" w:color="auto"/>
              <w:bottom w:val="single" w:sz="6" w:space="0" w:color="auto"/>
              <w:right w:val="single" w:sz="6" w:space="0" w:color="auto"/>
            </w:tcBorders>
            <w:shd w:val="solid" w:color="FFFFFF" w:fill="auto"/>
          </w:tcPr>
          <w:p w:rsidR="00404448" w:rsidRPr="006A6A4D" w:rsidRDefault="00404448" w:rsidP="00404448">
            <w:pPr>
              <w:autoSpaceDE w:val="0"/>
              <w:autoSpaceDN w:val="0"/>
              <w:adjustRightInd w:val="0"/>
              <w:spacing w:after="0"/>
              <w:jc w:val="center"/>
              <w:rPr>
                <w:rFonts w:eastAsia="Times New Roman" w:cs="Arial"/>
                <w:color w:val="000000"/>
              </w:rPr>
            </w:pPr>
            <w:r w:rsidRPr="006A6A4D">
              <w:rPr>
                <w:rFonts w:eastAsia="Times New Roman" w:cs="Arial"/>
                <w:color w:val="000000"/>
              </w:rPr>
              <w:t>23</w:t>
            </w:r>
          </w:p>
        </w:tc>
        <w:tc>
          <w:tcPr>
            <w:tcW w:w="1429" w:type="dxa"/>
            <w:tcBorders>
              <w:top w:val="single" w:sz="6" w:space="0" w:color="auto"/>
              <w:left w:val="single" w:sz="6" w:space="0" w:color="auto"/>
              <w:bottom w:val="single" w:sz="6" w:space="0" w:color="auto"/>
              <w:right w:val="single" w:sz="6" w:space="0" w:color="auto"/>
            </w:tcBorders>
            <w:shd w:val="solid" w:color="FFFFFF" w:fill="auto"/>
          </w:tcPr>
          <w:p w:rsidR="00404448" w:rsidRPr="006A6A4D" w:rsidRDefault="00404448" w:rsidP="00404448">
            <w:pPr>
              <w:autoSpaceDE w:val="0"/>
              <w:autoSpaceDN w:val="0"/>
              <w:adjustRightInd w:val="0"/>
              <w:spacing w:after="0"/>
              <w:jc w:val="center"/>
              <w:rPr>
                <w:rFonts w:eastAsia="Times New Roman" w:cs="Arial"/>
                <w:color w:val="000000"/>
              </w:rPr>
            </w:pPr>
            <w:r w:rsidRPr="006A6A4D">
              <w:rPr>
                <w:rFonts w:eastAsia="Times New Roman" w:cs="Arial"/>
                <w:color w:val="000000"/>
              </w:rPr>
              <w:t>5</w:t>
            </w:r>
            <w:r>
              <w:rPr>
                <w:rFonts w:eastAsia="Times New Roman" w:cs="Arial"/>
                <w:color w:val="000000"/>
              </w:rPr>
              <w:t>6</w:t>
            </w:r>
          </w:p>
        </w:tc>
        <w:tc>
          <w:tcPr>
            <w:tcW w:w="685" w:type="dxa"/>
            <w:tcBorders>
              <w:top w:val="single" w:sz="6" w:space="0" w:color="auto"/>
              <w:left w:val="single" w:sz="6" w:space="0" w:color="auto"/>
              <w:bottom w:val="single" w:sz="6" w:space="0" w:color="auto"/>
              <w:right w:val="single" w:sz="6" w:space="0" w:color="auto"/>
            </w:tcBorders>
          </w:tcPr>
          <w:p w:rsidR="00404448" w:rsidRPr="006A6A4D" w:rsidRDefault="00404448" w:rsidP="00404448">
            <w:pPr>
              <w:autoSpaceDE w:val="0"/>
              <w:autoSpaceDN w:val="0"/>
              <w:adjustRightInd w:val="0"/>
              <w:spacing w:after="0"/>
              <w:jc w:val="right"/>
              <w:rPr>
                <w:rFonts w:eastAsia="Times New Roman" w:cs="Arial"/>
                <w:color w:val="000000"/>
              </w:rPr>
            </w:pPr>
            <w:r w:rsidRPr="006A6A4D">
              <w:rPr>
                <w:rFonts w:eastAsia="Times New Roman" w:cs="Arial"/>
                <w:color w:val="000000"/>
              </w:rPr>
              <w:t>75</w:t>
            </w:r>
          </w:p>
        </w:tc>
      </w:tr>
      <w:tr w:rsidR="00404448" w:rsidRPr="006A6A4D">
        <w:trPr>
          <w:trHeight w:val="247"/>
        </w:trPr>
        <w:tc>
          <w:tcPr>
            <w:tcW w:w="1200" w:type="dxa"/>
            <w:tcBorders>
              <w:top w:val="single" w:sz="6" w:space="0" w:color="auto"/>
              <w:left w:val="single" w:sz="6" w:space="0" w:color="auto"/>
              <w:bottom w:val="single" w:sz="6" w:space="0" w:color="auto"/>
              <w:right w:val="single" w:sz="6" w:space="0" w:color="auto"/>
            </w:tcBorders>
            <w:shd w:val="solid" w:color="FFFFFF" w:fill="auto"/>
          </w:tcPr>
          <w:p w:rsidR="00404448" w:rsidRPr="006A6A4D" w:rsidRDefault="00404448" w:rsidP="00404448">
            <w:pPr>
              <w:autoSpaceDE w:val="0"/>
              <w:autoSpaceDN w:val="0"/>
              <w:adjustRightInd w:val="0"/>
              <w:spacing w:after="0"/>
              <w:rPr>
                <w:rFonts w:eastAsia="Times New Roman" w:cs="Arial"/>
                <w:color w:val="000000"/>
              </w:rPr>
            </w:pPr>
            <w:r w:rsidRPr="006A6A4D">
              <w:rPr>
                <w:rFonts w:eastAsia="Times New Roman" w:cs="Arial"/>
                <w:color w:val="000000"/>
              </w:rPr>
              <w:t>LC</w:t>
            </w:r>
          </w:p>
        </w:tc>
        <w:tc>
          <w:tcPr>
            <w:tcW w:w="821" w:type="dxa"/>
            <w:tcBorders>
              <w:top w:val="single" w:sz="6" w:space="0" w:color="auto"/>
              <w:left w:val="single" w:sz="6" w:space="0" w:color="auto"/>
              <w:bottom w:val="single" w:sz="6" w:space="0" w:color="auto"/>
              <w:right w:val="single" w:sz="6" w:space="0" w:color="auto"/>
            </w:tcBorders>
            <w:shd w:val="solid" w:color="FFFFFF" w:fill="auto"/>
          </w:tcPr>
          <w:p w:rsidR="00404448" w:rsidRPr="006A6A4D" w:rsidRDefault="00404448" w:rsidP="00404448">
            <w:pPr>
              <w:autoSpaceDE w:val="0"/>
              <w:autoSpaceDN w:val="0"/>
              <w:adjustRightInd w:val="0"/>
              <w:spacing w:after="0"/>
              <w:jc w:val="center"/>
              <w:rPr>
                <w:rFonts w:eastAsia="Times New Roman" w:cs="Arial"/>
                <w:color w:val="000000"/>
              </w:rPr>
            </w:pPr>
            <w:r w:rsidRPr="006A6A4D">
              <w:rPr>
                <w:rFonts w:eastAsia="Times New Roman" w:cs="Arial"/>
                <w:color w:val="000000"/>
              </w:rPr>
              <w:t>15</w:t>
            </w:r>
          </w:p>
        </w:tc>
        <w:tc>
          <w:tcPr>
            <w:tcW w:w="1429" w:type="dxa"/>
            <w:tcBorders>
              <w:top w:val="single" w:sz="6" w:space="0" w:color="auto"/>
              <w:left w:val="single" w:sz="6" w:space="0" w:color="auto"/>
              <w:bottom w:val="single" w:sz="6" w:space="0" w:color="auto"/>
              <w:right w:val="single" w:sz="6" w:space="0" w:color="auto"/>
            </w:tcBorders>
            <w:shd w:val="solid" w:color="FFFFFF" w:fill="auto"/>
          </w:tcPr>
          <w:p w:rsidR="00404448" w:rsidRPr="006A6A4D" w:rsidRDefault="00404448" w:rsidP="00404448">
            <w:pPr>
              <w:autoSpaceDE w:val="0"/>
              <w:autoSpaceDN w:val="0"/>
              <w:adjustRightInd w:val="0"/>
              <w:spacing w:after="0"/>
              <w:jc w:val="center"/>
              <w:rPr>
                <w:rFonts w:eastAsia="Times New Roman" w:cs="Arial"/>
                <w:color w:val="000000"/>
              </w:rPr>
            </w:pPr>
            <w:r w:rsidRPr="006A6A4D">
              <w:rPr>
                <w:rFonts w:eastAsia="Times New Roman" w:cs="Arial"/>
                <w:color w:val="000000"/>
              </w:rPr>
              <w:t>30</w:t>
            </w:r>
          </w:p>
        </w:tc>
        <w:tc>
          <w:tcPr>
            <w:tcW w:w="685" w:type="dxa"/>
            <w:tcBorders>
              <w:top w:val="single" w:sz="6" w:space="0" w:color="auto"/>
              <w:left w:val="single" w:sz="6" w:space="0" w:color="auto"/>
              <w:bottom w:val="single" w:sz="6" w:space="0" w:color="auto"/>
              <w:right w:val="single" w:sz="6" w:space="0" w:color="auto"/>
            </w:tcBorders>
          </w:tcPr>
          <w:p w:rsidR="00404448" w:rsidRPr="006A6A4D" w:rsidRDefault="00404448" w:rsidP="00404448">
            <w:pPr>
              <w:autoSpaceDE w:val="0"/>
              <w:autoSpaceDN w:val="0"/>
              <w:adjustRightInd w:val="0"/>
              <w:spacing w:after="0"/>
              <w:jc w:val="right"/>
              <w:rPr>
                <w:rFonts w:eastAsia="Times New Roman" w:cs="Arial"/>
                <w:color w:val="000000"/>
              </w:rPr>
            </w:pPr>
            <w:r w:rsidRPr="006A6A4D">
              <w:rPr>
                <w:rFonts w:eastAsia="Times New Roman" w:cs="Arial"/>
                <w:color w:val="000000"/>
              </w:rPr>
              <w:t>120</w:t>
            </w:r>
          </w:p>
        </w:tc>
      </w:tr>
      <w:tr w:rsidR="00404448" w:rsidRPr="006A6A4D">
        <w:trPr>
          <w:trHeight w:val="247"/>
        </w:trPr>
        <w:tc>
          <w:tcPr>
            <w:tcW w:w="1200" w:type="dxa"/>
            <w:tcBorders>
              <w:top w:val="single" w:sz="6" w:space="0" w:color="auto"/>
              <w:left w:val="single" w:sz="6" w:space="0" w:color="auto"/>
              <w:bottom w:val="single" w:sz="6" w:space="0" w:color="auto"/>
              <w:right w:val="single" w:sz="6" w:space="0" w:color="auto"/>
            </w:tcBorders>
            <w:shd w:val="solid" w:color="FFFFFF" w:fill="auto"/>
          </w:tcPr>
          <w:p w:rsidR="00404448" w:rsidRPr="006A6A4D" w:rsidRDefault="00404448" w:rsidP="00404448">
            <w:pPr>
              <w:autoSpaceDE w:val="0"/>
              <w:autoSpaceDN w:val="0"/>
              <w:adjustRightInd w:val="0"/>
              <w:spacing w:after="0"/>
              <w:rPr>
                <w:rFonts w:eastAsia="Times New Roman" w:cs="Arial"/>
                <w:color w:val="000000"/>
              </w:rPr>
            </w:pPr>
            <w:r w:rsidRPr="006A6A4D">
              <w:rPr>
                <w:rFonts w:eastAsia="Times New Roman" w:cs="Arial"/>
                <w:color w:val="000000"/>
              </w:rPr>
              <w:t>SC</w:t>
            </w:r>
          </w:p>
        </w:tc>
        <w:tc>
          <w:tcPr>
            <w:tcW w:w="821" w:type="dxa"/>
            <w:tcBorders>
              <w:top w:val="single" w:sz="6" w:space="0" w:color="auto"/>
              <w:left w:val="single" w:sz="6" w:space="0" w:color="auto"/>
              <w:bottom w:val="single" w:sz="6" w:space="0" w:color="auto"/>
              <w:right w:val="single" w:sz="6" w:space="0" w:color="auto"/>
            </w:tcBorders>
            <w:shd w:val="solid" w:color="FFFFFF" w:fill="auto"/>
          </w:tcPr>
          <w:p w:rsidR="00404448" w:rsidRPr="006A6A4D" w:rsidRDefault="00404448" w:rsidP="00404448">
            <w:pPr>
              <w:autoSpaceDE w:val="0"/>
              <w:autoSpaceDN w:val="0"/>
              <w:adjustRightInd w:val="0"/>
              <w:spacing w:after="0"/>
              <w:jc w:val="center"/>
              <w:rPr>
                <w:rFonts w:eastAsia="Times New Roman" w:cs="Arial"/>
                <w:color w:val="000000"/>
              </w:rPr>
            </w:pPr>
            <w:r w:rsidRPr="006A6A4D">
              <w:rPr>
                <w:rFonts w:eastAsia="Times New Roman" w:cs="Arial"/>
                <w:color w:val="000000"/>
              </w:rPr>
              <w:t>7</w:t>
            </w:r>
          </w:p>
        </w:tc>
        <w:tc>
          <w:tcPr>
            <w:tcW w:w="1429" w:type="dxa"/>
            <w:tcBorders>
              <w:top w:val="single" w:sz="6" w:space="0" w:color="auto"/>
              <w:left w:val="single" w:sz="6" w:space="0" w:color="auto"/>
              <w:bottom w:val="single" w:sz="6" w:space="0" w:color="auto"/>
              <w:right w:val="single" w:sz="6" w:space="0" w:color="auto"/>
            </w:tcBorders>
            <w:shd w:val="solid" w:color="FFFFFF" w:fill="auto"/>
          </w:tcPr>
          <w:p w:rsidR="00404448" w:rsidRPr="006A6A4D" w:rsidRDefault="00404448" w:rsidP="00404448">
            <w:pPr>
              <w:autoSpaceDE w:val="0"/>
              <w:autoSpaceDN w:val="0"/>
              <w:adjustRightInd w:val="0"/>
              <w:spacing w:after="0"/>
              <w:jc w:val="center"/>
              <w:rPr>
                <w:rFonts w:eastAsia="Times New Roman" w:cs="Arial"/>
                <w:color w:val="000000"/>
              </w:rPr>
            </w:pPr>
            <w:r w:rsidRPr="006A6A4D">
              <w:rPr>
                <w:rFonts w:eastAsia="Times New Roman" w:cs="Arial"/>
                <w:color w:val="000000"/>
              </w:rPr>
              <w:t>9</w:t>
            </w:r>
          </w:p>
        </w:tc>
        <w:tc>
          <w:tcPr>
            <w:tcW w:w="685" w:type="dxa"/>
            <w:tcBorders>
              <w:top w:val="single" w:sz="6" w:space="0" w:color="auto"/>
              <w:left w:val="single" w:sz="6" w:space="0" w:color="auto"/>
              <w:bottom w:val="single" w:sz="6" w:space="0" w:color="auto"/>
              <w:right w:val="single" w:sz="6" w:space="0" w:color="auto"/>
            </w:tcBorders>
          </w:tcPr>
          <w:p w:rsidR="00404448" w:rsidRPr="006A6A4D" w:rsidRDefault="00404448" w:rsidP="00404448">
            <w:pPr>
              <w:autoSpaceDE w:val="0"/>
              <w:autoSpaceDN w:val="0"/>
              <w:adjustRightInd w:val="0"/>
              <w:spacing w:after="0"/>
              <w:jc w:val="right"/>
              <w:rPr>
                <w:rFonts w:eastAsia="Times New Roman" w:cs="Arial"/>
                <w:color w:val="000000"/>
              </w:rPr>
            </w:pPr>
            <w:r w:rsidRPr="006A6A4D">
              <w:rPr>
                <w:rFonts w:eastAsia="Times New Roman" w:cs="Arial"/>
                <w:color w:val="000000"/>
              </w:rPr>
              <w:t>19</w:t>
            </w:r>
          </w:p>
        </w:tc>
      </w:tr>
    </w:tbl>
    <w:p w:rsidR="00404448" w:rsidRDefault="00404448" w:rsidP="00404448"/>
    <w:p w:rsidR="00404448" w:rsidRDefault="00404448" w:rsidP="00404448">
      <w:r>
        <w:t>These and related parameters may be confirmed by examining these items in the primary FITS header of an LC target pi</w:t>
      </w:r>
      <w:r w:rsidR="00F34353">
        <w:t>xel file (this example from Q0</w:t>
      </w:r>
      <w:r>
        <w:t xml:space="preserve"> data):</w:t>
      </w:r>
    </w:p>
    <w:p w:rsidR="00404448" w:rsidRPr="00B75431" w:rsidRDefault="00404448" w:rsidP="00404448">
      <w:pPr>
        <w:widowControl w:val="0"/>
        <w:autoSpaceDE w:val="0"/>
        <w:autoSpaceDN w:val="0"/>
        <w:adjustRightInd w:val="0"/>
        <w:spacing w:after="0"/>
        <w:rPr>
          <w:rFonts w:ascii="Courier" w:hAnsi="Courier" w:cs="Monaco"/>
          <w:sz w:val="18"/>
          <w:szCs w:val="22"/>
        </w:rPr>
      </w:pPr>
      <w:r w:rsidRPr="00B75431">
        <w:rPr>
          <w:rFonts w:ascii="Courier" w:hAnsi="Courier" w:cs="Monaco"/>
          <w:color w:val="000000"/>
          <w:sz w:val="18"/>
          <w:szCs w:val="22"/>
        </w:rPr>
        <w:t xml:space="preserve">FGSFRPER=               103.79 / FGS frame period (milli-seconds)               </w:t>
      </w:r>
    </w:p>
    <w:p w:rsidR="00404448" w:rsidRPr="00B75431" w:rsidRDefault="00404448" w:rsidP="00404448">
      <w:pPr>
        <w:widowControl w:val="0"/>
        <w:autoSpaceDE w:val="0"/>
        <w:autoSpaceDN w:val="0"/>
        <w:adjustRightInd w:val="0"/>
        <w:spacing w:after="0"/>
        <w:rPr>
          <w:rFonts w:ascii="Courier" w:hAnsi="Courier" w:cs="Monaco"/>
          <w:sz w:val="18"/>
          <w:szCs w:val="22"/>
        </w:rPr>
      </w:pPr>
      <w:r w:rsidRPr="00B75431">
        <w:rPr>
          <w:rFonts w:ascii="Courier" w:hAnsi="Courier" w:cs="Monaco"/>
          <w:color w:val="000000"/>
          <w:sz w:val="18"/>
          <w:szCs w:val="22"/>
        </w:rPr>
        <w:t xml:space="preserve">NUMFGSFP=                   58 / number of FGS frame periods per exposure       </w:t>
      </w:r>
    </w:p>
    <w:p w:rsidR="00404448" w:rsidRPr="00B75431" w:rsidRDefault="00404448" w:rsidP="00404448">
      <w:pPr>
        <w:widowControl w:val="0"/>
        <w:autoSpaceDE w:val="0"/>
        <w:autoSpaceDN w:val="0"/>
        <w:adjustRightInd w:val="0"/>
        <w:spacing w:after="0"/>
        <w:rPr>
          <w:rFonts w:ascii="Courier" w:hAnsi="Courier" w:cs="Monaco"/>
          <w:sz w:val="18"/>
          <w:szCs w:val="22"/>
        </w:rPr>
      </w:pPr>
      <w:r w:rsidRPr="00B75431">
        <w:rPr>
          <w:rFonts w:ascii="Courier" w:hAnsi="Courier" w:cs="Monaco"/>
          <w:color w:val="000000"/>
          <w:sz w:val="18"/>
          <w:szCs w:val="22"/>
        </w:rPr>
        <w:t xml:space="preserve">EXP_TIME=              6.01982 / exposure time (seconds)                        </w:t>
      </w:r>
    </w:p>
    <w:p w:rsidR="00404448" w:rsidRPr="00B75431" w:rsidRDefault="00404448" w:rsidP="00404448">
      <w:pPr>
        <w:widowControl w:val="0"/>
        <w:autoSpaceDE w:val="0"/>
        <w:autoSpaceDN w:val="0"/>
        <w:adjustRightInd w:val="0"/>
        <w:spacing w:after="0"/>
        <w:rPr>
          <w:rFonts w:ascii="Courier" w:hAnsi="Courier" w:cs="Monaco"/>
          <w:sz w:val="18"/>
          <w:szCs w:val="22"/>
        </w:rPr>
      </w:pPr>
      <w:r w:rsidRPr="00B75431">
        <w:rPr>
          <w:rFonts w:ascii="Courier" w:hAnsi="Courier" w:cs="Monaco"/>
          <w:color w:val="000000"/>
          <w:sz w:val="18"/>
          <w:szCs w:val="22"/>
        </w:rPr>
        <w:t xml:space="preserve">READTIME=               518.95 / read out time (milli-seconds)                  </w:t>
      </w:r>
    </w:p>
    <w:p w:rsidR="00404448" w:rsidRPr="00B75431" w:rsidRDefault="00404448" w:rsidP="00404448">
      <w:pPr>
        <w:widowControl w:val="0"/>
        <w:autoSpaceDE w:val="0"/>
        <w:autoSpaceDN w:val="0"/>
        <w:adjustRightInd w:val="0"/>
        <w:spacing w:after="0"/>
        <w:rPr>
          <w:rFonts w:ascii="Courier" w:hAnsi="Courier" w:cs="Monaco"/>
          <w:sz w:val="18"/>
          <w:szCs w:val="22"/>
        </w:rPr>
      </w:pPr>
      <w:r w:rsidRPr="00B75431">
        <w:rPr>
          <w:rFonts w:ascii="Courier" w:hAnsi="Courier" w:cs="Monaco"/>
          <w:color w:val="000000"/>
          <w:sz w:val="18"/>
          <w:szCs w:val="22"/>
        </w:rPr>
        <w:t>INT_TIME=              6.53877 / integration time (seconds) (exp + readout time)</w:t>
      </w:r>
    </w:p>
    <w:p w:rsidR="00404448" w:rsidRPr="00B75431" w:rsidRDefault="00404448" w:rsidP="00404448">
      <w:pPr>
        <w:widowControl w:val="0"/>
        <w:autoSpaceDE w:val="0"/>
        <w:autoSpaceDN w:val="0"/>
        <w:adjustRightInd w:val="0"/>
        <w:spacing w:after="0"/>
        <w:rPr>
          <w:rFonts w:ascii="Courier" w:hAnsi="Courier" w:cs="Monaco"/>
          <w:sz w:val="18"/>
          <w:szCs w:val="22"/>
        </w:rPr>
      </w:pPr>
      <w:r w:rsidRPr="00B75431">
        <w:rPr>
          <w:rFonts w:ascii="Courier" w:hAnsi="Courier" w:cs="Monaco"/>
          <w:color w:val="000000"/>
          <w:sz w:val="18"/>
          <w:szCs w:val="22"/>
        </w:rPr>
        <w:t>NUMSHORT=                    9 / number of integrations in a short cadence frame</w:t>
      </w:r>
    </w:p>
    <w:p w:rsidR="00404448" w:rsidRPr="00B75431" w:rsidRDefault="00404448" w:rsidP="00404448">
      <w:pPr>
        <w:widowControl w:val="0"/>
        <w:autoSpaceDE w:val="0"/>
        <w:autoSpaceDN w:val="0"/>
        <w:adjustRightInd w:val="0"/>
        <w:spacing w:after="0"/>
        <w:rPr>
          <w:rFonts w:ascii="Courier" w:hAnsi="Courier" w:cs="Monaco"/>
          <w:sz w:val="18"/>
          <w:szCs w:val="22"/>
        </w:rPr>
      </w:pPr>
      <w:r w:rsidRPr="00B75431">
        <w:rPr>
          <w:rFonts w:ascii="Courier" w:hAnsi="Courier" w:cs="Monaco"/>
          <w:color w:val="000000"/>
          <w:sz w:val="18"/>
          <w:szCs w:val="22"/>
        </w:rPr>
        <w:t xml:space="preserve">TEXP_SC =              54.1784 / total short cadence exposure time (seconds)    </w:t>
      </w:r>
    </w:p>
    <w:p w:rsidR="00404448" w:rsidRPr="00B75431" w:rsidRDefault="00404448" w:rsidP="00404448">
      <w:pPr>
        <w:widowControl w:val="0"/>
        <w:autoSpaceDE w:val="0"/>
        <w:autoSpaceDN w:val="0"/>
        <w:adjustRightInd w:val="0"/>
        <w:spacing w:after="0"/>
        <w:rPr>
          <w:rFonts w:ascii="Courier" w:hAnsi="Courier" w:cs="Monaco"/>
          <w:sz w:val="18"/>
          <w:szCs w:val="22"/>
        </w:rPr>
      </w:pPr>
      <w:r w:rsidRPr="00B75431">
        <w:rPr>
          <w:rFonts w:ascii="Courier" w:hAnsi="Courier" w:cs="Monaco"/>
          <w:color w:val="000000"/>
          <w:sz w:val="18"/>
          <w:szCs w:val="22"/>
        </w:rPr>
        <w:t xml:space="preserve">TREAD_SC=              4.67055 / total short cadence readout time (seconds)     </w:t>
      </w:r>
    </w:p>
    <w:p w:rsidR="00404448" w:rsidRPr="00B75431" w:rsidRDefault="00404448" w:rsidP="00404448">
      <w:pPr>
        <w:widowControl w:val="0"/>
        <w:autoSpaceDE w:val="0"/>
        <w:autoSpaceDN w:val="0"/>
        <w:adjustRightInd w:val="0"/>
        <w:spacing w:after="0"/>
        <w:rPr>
          <w:rFonts w:ascii="Courier" w:hAnsi="Courier" w:cs="Monaco"/>
          <w:sz w:val="18"/>
          <w:szCs w:val="22"/>
        </w:rPr>
      </w:pPr>
      <w:r w:rsidRPr="00B75431">
        <w:rPr>
          <w:rFonts w:ascii="Courier" w:hAnsi="Courier" w:cs="Monaco"/>
          <w:color w:val="000000"/>
          <w:sz w:val="18"/>
          <w:szCs w:val="22"/>
        </w:rPr>
        <w:t xml:space="preserve">TINT_SC =              58.8489 / total short cadence integration time (seconds) </w:t>
      </w:r>
    </w:p>
    <w:p w:rsidR="00404448" w:rsidRPr="00B75431" w:rsidRDefault="00404448" w:rsidP="00404448">
      <w:pPr>
        <w:widowControl w:val="0"/>
        <w:autoSpaceDE w:val="0"/>
        <w:autoSpaceDN w:val="0"/>
        <w:adjustRightInd w:val="0"/>
        <w:spacing w:after="0"/>
        <w:rPr>
          <w:rFonts w:ascii="Courier" w:hAnsi="Courier" w:cs="Monaco"/>
          <w:sz w:val="18"/>
          <w:szCs w:val="22"/>
        </w:rPr>
      </w:pPr>
      <w:r w:rsidRPr="00B75431">
        <w:rPr>
          <w:rFonts w:ascii="Courier" w:hAnsi="Courier" w:cs="Monaco"/>
          <w:color w:val="000000"/>
          <w:sz w:val="18"/>
          <w:szCs w:val="22"/>
        </w:rPr>
        <w:t xml:space="preserve">SHRTLONG=                   30 / number of short cadences per long cadence      </w:t>
      </w:r>
    </w:p>
    <w:p w:rsidR="00404448" w:rsidRPr="00D4606A" w:rsidRDefault="00404448" w:rsidP="00404448">
      <w:pPr>
        <w:widowControl w:val="0"/>
        <w:autoSpaceDE w:val="0"/>
        <w:autoSpaceDN w:val="0"/>
        <w:adjustRightInd w:val="0"/>
        <w:spacing w:after="0"/>
        <w:rPr>
          <w:rFonts w:ascii="Courier" w:hAnsi="Courier" w:cs="Monaco"/>
          <w:sz w:val="18"/>
          <w:szCs w:val="22"/>
        </w:rPr>
      </w:pPr>
      <w:r w:rsidRPr="00B75431">
        <w:rPr>
          <w:rFonts w:ascii="Courier" w:hAnsi="Courier" w:cs="Monaco"/>
          <w:color w:val="000000"/>
          <w:sz w:val="18"/>
          <w:szCs w:val="22"/>
        </w:rPr>
        <w:t xml:space="preserve">NUM_FFI =                  270 / number of integrations in a science FFI        </w:t>
      </w:r>
    </w:p>
    <w:p w:rsidR="00404448" w:rsidRDefault="00404448" w:rsidP="00404448"/>
    <w:p w:rsidR="00404448" w:rsidRDefault="00404448" w:rsidP="00404448">
      <w:pPr>
        <w:pStyle w:val="Heading3"/>
      </w:pPr>
      <w:bookmarkStart w:id="265" w:name="_Ref208719621"/>
      <w:bookmarkStart w:id="266" w:name="_Toc322942220"/>
      <w:r>
        <w:t>Flight Software Parameters</w:t>
      </w:r>
      <w:bookmarkEnd w:id="266"/>
    </w:p>
    <w:p w:rsidR="00404448" w:rsidRDefault="00404448" w:rsidP="00404448">
      <w:r>
        <w:t>Flight software does some simple arithmetic on pixels, such as adding collateral pixels and adding and subtracting offsets.  They are listed in the primary FITS header of an LC target pixel f</w:t>
      </w:r>
      <w:r w:rsidR="00F34353">
        <w:t>ile.  Standard values (from Q0</w:t>
      </w:r>
      <w:r>
        <w:t xml:space="preserve"> data):</w:t>
      </w:r>
    </w:p>
    <w:p w:rsidR="00404448" w:rsidRPr="007F778D" w:rsidRDefault="00404448" w:rsidP="00404448">
      <w:pPr>
        <w:widowControl w:val="0"/>
        <w:autoSpaceDE w:val="0"/>
        <w:autoSpaceDN w:val="0"/>
        <w:adjustRightInd w:val="0"/>
        <w:spacing w:after="0"/>
        <w:rPr>
          <w:rFonts w:ascii="Courier" w:hAnsi="Courier" w:cs="Monaco"/>
          <w:sz w:val="18"/>
          <w:szCs w:val="22"/>
        </w:rPr>
      </w:pPr>
      <w:r w:rsidRPr="007F778D">
        <w:rPr>
          <w:rFonts w:ascii="Courier" w:hAnsi="Courier" w:cs="Monaco"/>
          <w:color w:val="000000"/>
          <w:sz w:val="18"/>
          <w:szCs w:val="22"/>
        </w:rPr>
        <w:t>LCFXDOFF=               419400 / long cadence FSW black level fixed offset (cnts</w:t>
      </w:r>
    </w:p>
    <w:p w:rsidR="00404448" w:rsidRPr="007F778D" w:rsidRDefault="00404448" w:rsidP="00404448">
      <w:pPr>
        <w:widowControl w:val="0"/>
        <w:autoSpaceDE w:val="0"/>
        <w:autoSpaceDN w:val="0"/>
        <w:adjustRightInd w:val="0"/>
        <w:spacing w:after="0"/>
        <w:rPr>
          <w:rFonts w:ascii="Courier" w:hAnsi="Courier" w:cs="Monaco"/>
          <w:sz w:val="18"/>
          <w:szCs w:val="22"/>
        </w:rPr>
      </w:pPr>
      <w:r w:rsidRPr="007F778D">
        <w:rPr>
          <w:rFonts w:ascii="Courier" w:hAnsi="Courier" w:cs="Monaco"/>
          <w:color w:val="000000"/>
          <w:sz w:val="18"/>
          <w:szCs w:val="22"/>
        </w:rPr>
        <w:t>SCFXDOFF=               219400 / short cadence FSW black level fixed offset (cnt</w:t>
      </w:r>
    </w:p>
    <w:p w:rsidR="00404448" w:rsidRPr="007F778D" w:rsidRDefault="00404448" w:rsidP="00404448">
      <w:pPr>
        <w:widowControl w:val="0"/>
        <w:autoSpaceDE w:val="0"/>
        <w:autoSpaceDN w:val="0"/>
        <w:adjustRightInd w:val="0"/>
        <w:spacing w:after="0"/>
        <w:rPr>
          <w:rFonts w:ascii="Courier" w:hAnsi="Courier" w:cs="Monaco"/>
          <w:sz w:val="18"/>
          <w:szCs w:val="22"/>
        </w:rPr>
      </w:pPr>
      <w:r w:rsidRPr="007F778D">
        <w:rPr>
          <w:rFonts w:ascii="Courier" w:hAnsi="Courier" w:cs="Monaco"/>
          <w:color w:val="000000"/>
          <w:sz w:val="18"/>
          <w:szCs w:val="22"/>
        </w:rPr>
        <w:t xml:space="preserve">                                                                                </w:t>
      </w:r>
    </w:p>
    <w:p w:rsidR="00404448" w:rsidRPr="007F778D" w:rsidRDefault="00404448" w:rsidP="00404448">
      <w:pPr>
        <w:widowControl w:val="0"/>
        <w:autoSpaceDE w:val="0"/>
        <w:autoSpaceDN w:val="0"/>
        <w:adjustRightInd w:val="0"/>
        <w:spacing w:after="0"/>
        <w:rPr>
          <w:rFonts w:ascii="Courier" w:hAnsi="Courier" w:cs="Monaco"/>
          <w:sz w:val="18"/>
          <w:szCs w:val="22"/>
        </w:rPr>
      </w:pPr>
      <w:r w:rsidRPr="007F778D">
        <w:rPr>
          <w:rFonts w:ascii="Courier" w:hAnsi="Courier" w:cs="Monaco"/>
          <w:color w:val="000000"/>
          <w:sz w:val="18"/>
          <w:szCs w:val="22"/>
        </w:rPr>
        <w:t xml:space="preserve">              / Collateral Pixel Definition                                     </w:t>
      </w:r>
    </w:p>
    <w:p w:rsidR="00404448" w:rsidRPr="007F778D" w:rsidRDefault="00404448" w:rsidP="00404448">
      <w:pPr>
        <w:widowControl w:val="0"/>
        <w:autoSpaceDE w:val="0"/>
        <w:autoSpaceDN w:val="0"/>
        <w:adjustRightInd w:val="0"/>
        <w:spacing w:after="0"/>
        <w:rPr>
          <w:rFonts w:ascii="Courier" w:hAnsi="Courier" w:cs="Monaco"/>
          <w:sz w:val="18"/>
          <w:szCs w:val="22"/>
        </w:rPr>
      </w:pPr>
      <w:r w:rsidRPr="007F778D">
        <w:rPr>
          <w:rFonts w:ascii="Courier" w:hAnsi="Courier" w:cs="Monaco"/>
          <w:color w:val="000000"/>
          <w:sz w:val="18"/>
          <w:szCs w:val="22"/>
        </w:rPr>
        <w:t xml:space="preserve">                                                                                </w:t>
      </w:r>
    </w:p>
    <w:p w:rsidR="00404448" w:rsidRPr="007F778D" w:rsidRDefault="00404448" w:rsidP="00404448">
      <w:pPr>
        <w:widowControl w:val="0"/>
        <w:autoSpaceDE w:val="0"/>
        <w:autoSpaceDN w:val="0"/>
        <w:adjustRightInd w:val="0"/>
        <w:spacing w:after="0"/>
        <w:rPr>
          <w:rFonts w:ascii="Courier" w:hAnsi="Courier" w:cs="Monaco"/>
          <w:sz w:val="18"/>
          <w:szCs w:val="22"/>
        </w:rPr>
      </w:pPr>
      <w:r w:rsidRPr="007F778D">
        <w:rPr>
          <w:rFonts w:ascii="Courier" w:hAnsi="Courier" w:cs="Monaco"/>
          <w:color w:val="000000"/>
          <w:sz w:val="18"/>
          <w:szCs w:val="22"/>
        </w:rPr>
        <w:t>VSMRSROW=                 1046 / science collateral virtual smear region start r</w:t>
      </w:r>
    </w:p>
    <w:p w:rsidR="00404448" w:rsidRPr="007F778D" w:rsidRDefault="00404448" w:rsidP="00404448">
      <w:pPr>
        <w:widowControl w:val="0"/>
        <w:autoSpaceDE w:val="0"/>
        <w:autoSpaceDN w:val="0"/>
        <w:adjustRightInd w:val="0"/>
        <w:spacing w:after="0"/>
        <w:rPr>
          <w:rFonts w:ascii="Courier" w:hAnsi="Courier" w:cs="Monaco"/>
          <w:sz w:val="18"/>
          <w:szCs w:val="22"/>
        </w:rPr>
      </w:pPr>
      <w:r w:rsidRPr="007F778D">
        <w:rPr>
          <w:rFonts w:ascii="Courier" w:hAnsi="Courier" w:cs="Monaco"/>
          <w:color w:val="000000"/>
          <w:sz w:val="18"/>
          <w:szCs w:val="22"/>
        </w:rPr>
        <w:t>VSMREROW=                 1057 / science collateral virtual smear region end row</w:t>
      </w:r>
    </w:p>
    <w:p w:rsidR="00404448" w:rsidRPr="007F778D" w:rsidRDefault="00404448" w:rsidP="00404448">
      <w:pPr>
        <w:widowControl w:val="0"/>
        <w:autoSpaceDE w:val="0"/>
        <w:autoSpaceDN w:val="0"/>
        <w:adjustRightInd w:val="0"/>
        <w:spacing w:after="0"/>
        <w:rPr>
          <w:rFonts w:ascii="Courier" w:hAnsi="Courier" w:cs="Monaco"/>
          <w:sz w:val="18"/>
          <w:szCs w:val="22"/>
        </w:rPr>
      </w:pPr>
      <w:r w:rsidRPr="007F778D">
        <w:rPr>
          <w:rFonts w:ascii="Courier" w:hAnsi="Courier" w:cs="Monaco"/>
          <w:color w:val="000000"/>
          <w:sz w:val="18"/>
          <w:szCs w:val="22"/>
        </w:rPr>
        <w:t xml:space="preserve">NROWVSMR=                   12 / number of rows binned in virtual smear region  </w:t>
      </w:r>
    </w:p>
    <w:p w:rsidR="00404448" w:rsidRPr="007F778D" w:rsidRDefault="00404448" w:rsidP="00404448">
      <w:pPr>
        <w:widowControl w:val="0"/>
        <w:autoSpaceDE w:val="0"/>
        <w:autoSpaceDN w:val="0"/>
        <w:adjustRightInd w:val="0"/>
        <w:spacing w:after="0"/>
        <w:rPr>
          <w:rFonts w:ascii="Courier" w:hAnsi="Courier" w:cs="Monaco"/>
          <w:sz w:val="18"/>
          <w:szCs w:val="22"/>
        </w:rPr>
      </w:pPr>
      <w:r w:rsidRPr="007F778D">
        <w:rPr>
          <w:rFonts w:ascii="Courier" w:hAnsi="Courier" w:cs="Monaco"/>
          <w:color w:val="000000"/>
          <w:sz w:val="18"/>
          <w:szCs w:val="22"/>
        </w:rPr>
        <w:t>VSMRSCOL=                   12 / science collateral virtual smear region start c</w:t>
      </w:r>
    </w:p>
    <w:p w:rsidR="00404448" w:rsidRPr="007F778D" w:rsidRDefault="00404448" w:rsidP="00404448">
      <w:pPr>
        <w:widowControl w:val="0"/>
        <w:autoSpaceDE w:val="0"/>
        <w:autoSpaceDN w:val="0"/>
        <w:adjustRightInd w:val="0"/>
        <w:spacing w:after="0"/>
        <w:rPr>
          <w:rFonts w:ascii="Courier" w:hAnsi="Courier" w:cs="Monaco"/>
          <w:sz w:val="18"/>
          <w:szCs w:val="22"/>
        </w:rPr>
      </w:pPr>
      <w:r w:rsidRPr="007F778D">
        <w:rPr>
          <w:rFonts w:ascii="Courier" w:hAnsi="Courier" w:cs="Monaco"/>
          <w:color w:val="000000"/>
          <w:sz w:val="18"/>
          <w:szCs w:val="22"/>
        </w:rPr>
        <w:t>VSMRECOL=                 1111 / science collateral virtual smear region end col</w:t>
      </w:r>
    </w:p>
    <w:p w:rsidR="00404448" w:rsidRPr="007F778D" w:rsidRDefault="00404448" w:rsidP="00404448">
      <w:pPr>
        <w:widowControl w:val="0"/>
        <w:autoSpaceDE w:val="0"/>
        <w:autoSpaceDN w:val="0"/>
        <w:adjustRightInd w:val="0"/>
        <w:spacing w:after="0"/>
        <w:rPr>
          <w:rFonts w:ascii="Courier" w:hAnsi="Courier" w:cs="Monaco"/>
          <w:sz w:val="18"/>
          <w:szCs w:val="22"/>
        </w:rPr>
      </w:pPr>
      <w:r w:rsidRPr="007F778D">
        <w:rPr>
          <w:rFonts w:ascii="Courier" w:hAnsi="Courier" w:cs="Monaco"/>
          <w:color w:val="000000"/>
          <w:sz w:val="18"/>
          <w:szCs w:val="22"/>
        </w:rPr>
        <w:t xml:space="preserve">NCOLVSMR=                 1100 / number of columns in virtual smear region      </w:t>
      </w:r>
    </w:p>
    <w:p w:rsidR="00404448" w:rsidRPr="007F778D" w:rsidRDefault="00404448" w:rsidP="00404448">
      <w:pPr>
        <w:widowControl w:val="0"/>
        <w:autoSpaceDE w:val="0"/>
        <w:autoSpaceDN w:val="0"/>
        <w:adjustRightInd w:val="0"/>
        <w:spacing w:after="0"/>
        <w:rPr>
          <w:rFonts w:ascii="Courier" w:hAnsi="Courier" w:cs="Monaco"/>
          <w:sz w:val="18"/>
          <w:szCs w:val="22"/>
        </w:rPr>
      </w:pPr>
      <w:r w:rsidRPr="007F778D">
        <w:rPr>
          <w:rFonts w:ascii="Courier" w:hAnsi="Courier" w:cs="Monaco"/>
          <w:color w:val="000000"/>
          <w:sz w:val="18"/>
          <w:szCs w:val="22"/>
        </w:rPr>
        <w:t xml:space="preserve">MASKSROW=                    6 / science collateral masked region start row     </w:t>
      </w:r>
    </w:p>
    <w:p w:rsidR="00404448" w:rsidRPr="007F778D" w:rsidRDefault="00404448" w:rsidP="00404448">
      <w:pPr>
        <w:widowControl w:val="0"/>
        <w:autoSpaceDE w:val="0"/>
        <w:autoSpaceDN w:val="0"/>
        <w:adjustRightInd w:val="0"/>
        <w:spacing w:after="0"/>
        <w:rPr>
          <w:rFonts w:ascii="Courier" w:hAnsi="Courier" w:cs="Monaco"/>
          <w:sz w:val="18"/>
          <w:szCs w:val="22"/>
        </w:rPr>
      </w:pPr>
      <w:r w:rsidRPr="007F778D">
        <w:rPr>
          <w:rFonts w:ascii="Courier" w:hAnsi="Courier" w:cs="Monaco"/>
          <w:color w:val="000000"/>
          <w:sz w:val="18"/>
          <w:szCs w:val="22"/>
        </w:rPr>
        <w:t xml:space="preserve">MASKEROW=                   17 / science collateral masked region end row       </w:t>
      </w:r>
    </w:p>
    <w:p w:rsidR="00404448" w:rsidRPr="007F778D" w:rsidRDefault="00404448" w:rsidP="00404448">
      <w:pPr>
        <w:widowControl w:val="0"/>
        <w:autoSpaceDE w:val="0"/>
        <w:autoSpaceDN w:val="0"/>
        <w:adjustRightInd w:val="0"/>
        <w:spacing w:after="0"/>
        <w:rPr>
          <w:rFonts w:ascii="Courier" w:hAnsi="Courier" w:cs="Monaco"/>
          <w:sz w:val="18"/>
          <w:szCs w:val="22"/>
        </w:rPr>
      </w:pPr>
      <w:r w:rsidRPr="007F778D">
        <w:rPr>
          <w:rFonts w:ascii="Courier" w:hAnsi="Courier" w:cs="Monaco"/>
          <w:color w:val="000000"/>
          <w:sz w:val="18"/>
          <w:szCs w:val="22"/>
        </w:rPr>
        <w:t xml:space="preserve">NROWMASK=                   12 / number of rows binned in masked region         </w:t>
      </w:r>
    </w:p>
    <w:p w:rsidR="00404448" w:rsidRPr="007F778D" w:rsidRDefault="00404448" w:rsidP="00404448">
      <w:pPr>
        <w:widowControl w:val="0"/>
        <w:autoSpaceDE w:val="0"/>
        <w:autoSpaceDN w:val="0"/>
        <w:adjustRightInd w:val="0"/>
        <w:spacing w:after="0"/>
        <w:rPr>
          <w:rFonts w:ascii="Courier" w:hAnsi="Courier" w:cs="Monaco"/>
          <w:sz w:val="18"/>
          <w:szCs w:val="22"/>
        </w:rPr>
      </w:pPr>
      <w:r w:rsidRPr="007F778D">
        <w:rPr>
          <w:rFonts w:ascii="Courier" w:hAnsi="Courier" w:cs="Monaco"/>
          <w:color w:val="000000"/>
          <w:sz w:val="18"/>
          <w:szCs w:val="22"/>
        </w:rPr>
        <w:t xml:space="preserve">MASKSCOL=                   12 / science collateral masked region start column  </w:t>
      </w:r>
    </w:p>
    <w:p w:rsidR="00404448" w:rsidRPr="007F778D" w:rsidRDefault="00404448" w:rsidP="00404448">
      <w:pPr>
        <w:widowControl w:val="0"/>
        <w:autoSpaceDE w:val="0"/>
        <w:autoSpaceDN w:val="0"/>
        <w:adjustRightInd w:val="0"/>
        <w:spacing w:after="0"/>
        <w:rPr>
          <w:rFonts w:ascii="Courier" w:hAnsi="Courier" w:cs="Monaco"/>
          <w:sz w:val="18"/>
          <w:szCs w:val="22"/>
        </w:rPr>
      </w:pPr>
      <w:r w:rsidRPr="007F778D">
        <w:rPr>
          <w:rFonts w:ascii="Courier" w:hAnsi="Courier" w:cs="Monaco"/>
          <w:color w:val="000000"/>
          <w:sz w:val="18"/>
          <w:szCs w:val="22"/>
        </w:rPr>
        <w:t xml:space="preserve">MASKECOL=                 1111 / science collateral masked region end column    </w:t>
      </w:r>
    </w:p>
    <w:p w:rsidR="00404448" w:rsidRPr="007F778D" w:rsidRDefault="00404448" w:rsidP="00404448">
      <w:pPr>
        <w:widowControl w:val="0"/>
        <w:autoSpaceDE w:val="0"/>
        <w:autoSpaceDN w:val="0"/>
        <w:adjustRightInd w:val="0"/>
        <w:spacing w:after="0"/>
        <w:rPr>
          <w:rFonts w:ascii="Courier" w:hAnsi="Courier" w:cs="Monaco"/>
          <w:sz w:val="18"/>
          <w:szCs w:val="22"/>
        </w:rPr>
      </w:pPr>
      <w:r w:rsidRPr="007F778D">
        <w:rPr>
          <w:rFonts w:ascii="Courier" w:hAnsi="Courier" w:cs="Monaco"/>
          <w:color w:val="000000"/>
          <w:sz w:val="18"/>
          <w:szCs w:val="22"/>
        </w:rPr>
        <w:t xml:space="preserve">NCOLMASK=                 1100 / number of columns in masked region             </w:t>
      </w:r>
    </w:p>
    <w:p w:rsidR="00404448" w:rsidRPr="007F778D" w:rsidRDefault="00404448" w:rsidP="00404448">
      <w:pPr>
        <w:widowControl w:val="0"/>
        <w:autoSpaceDE w:val="0"/>
        <w:autoSpaceDN w:val="0"/>
        <w:adjustRightInd w:val="0"/>
        <w:spacing w:after="0"/>
        <w:rPr>
          <w:rFonts w:ascii="Courier" w:hAnsi="Courier" w:cs="Monaco"/>
          <w:sz w:val="18"/>
          <w:szCs w:val="22"/>
        </w:rPr>
      </w:pPr>
      <w:r w:rsidRPr="007F778D">
        <w:rPr>
          <w:rFonts w:ascii="Courier" w:hAnsi="Courier" w:cs="Monaco"/>
          <w:color w:val="000000"/>
          <w:sz w:val="18"/>
          <w:szCs w:val="22"/>
        </w:rPr>
        <w:t xml:space="preserve">BLCKSROW=                    0 / science collateral black region start row      </w:t>
      </w:r>
    </w:p>
    <w:p w:rsidR="00404448" w:rsidRPr="007F778D" w:rsidRDefault="00404448" w:rsidP="00404448">
      <w:pPr>
        <w:widowControl w:val="0"/>
        <w:autoSpaceDE w:val="0"/>
        <w:autoSpaceDN w:val="0"/>
        <w:adjustRightInd w:val="0"/>
        <w:spacing w:after="0"/>
        <w:rPr>
          <w:rFonts w:ascii="Courier" w:hAnsi="Courier" w:cs="Monaco"/>
          <w:sz w:val="18"/>
          <w:szCs w:val="22"/>
        </w:rPr>
      </w:pPr>
      <w:r w:rsidRPr="007F778D">
        <w:rPr>
          <w:rFonts w:ascii="Courier" w:hAnsi="Courier" w:cs="Monaco"/>
          <w:color w:val="000000"/>
          <w:sz w:val="18"/>
          <w:szCs w:val="22"/>
        </w:rPr>
        <w:t xml:space="preserve">BLCKEROW=                 1069 / science collateral black region end row        </w:t>
      </w:r>
    </w:p>
    <w:p w:rsidR="00404448" w:rsidRPr="007F778D" w:rsidRDefault="00404448" w:rsidP="00404448">
      <w:pPr>
        <w:widowControl w:val="0"/>
        <w:autoSpaceDE w:val="0"/>
        <w:autoSpaceDN w:val="0"/>
        <w:adjustRightInd w:val="0"/>
        <w:spacing w:after="0"/>
        <w:rPr>
          <w:rFonts w:ascii="Courier" w:hAnsi="Courier" w:cs="Monaco"/>
          <w:sz w:val="18"/>
          <w:szCs w:val="22"/>
        </w:rPr>
      </w:pPr>
      <w:r w:rsidRPr="007F778D">
        <w:rPr>
          <w:rFonts w:ascii="Courier" w:hAnsi="Courier" w:cs="Monaco"/>
          <w:color w:val="000000"/>
          <w:sz w:val="18"/>
          <w:szCs w:val="22"/>
        </w:rPr>
        <w:t xml:space="preserve">NROWBLCK=                 1070 / number of rows in black region                 </w:t>
      </w:r>
    </w:p>
    <w:p w:rsidR="00404448" w:rsidRPr="007F778D" w:rsidRDefault="00404448" w:rsidP="00404448">
      <w:pPr>
        <w:widowControl w:val="0"/>
        <w:autoSpaceDE w:val="0"/>
        <w:autoSpaceDN w:val="0"/>
        <w:adjustRightInd w:val="0"/>
        <w:spacing w:after="0"/>
        <w:rPr>
          <w:rFonts w:ascii="Courier" w:hAnsi="Courier" w:cs="Monaco"/>
          <w:sz w:val="18"/>
          <w:szCs w:val="22"/>
        </w:rPr>
      </w:pPr>
      <w:r w:rsidRPr="007F778D">
        <w:rPr>
          <w:rFonts w:ascii="Courier" w:hAnsi="Courier" w:cs="Monaco"/>
          <w:color w:val="000000"/>
          <w:sz w:val="18"/>
          <w:szCs w:val="22"/>
        </w:rPr>
        <w:t xml:space="preserve">BLCKSCOL=                 1118 / science collateral black region start column   </w:t>
      </w:r>
    </w:p>
    <w:p w:rsidR="00404448" w:rsidRPr="007F778D" w:rsidRDefault="00404448" w:rsidP="00404448">
      <w:pPr>
        <w:widowControl w:val="0"/>
        <w:autoSpaceDE w:val="0"/>
        <w:autoSpaceDN w:val="0"/>
        <w:adjustRightInd w:val="0"/>
        <w:spacing w:after="0"/>
        <w:rPr>
          <w:rFonts w:ascii="Courier" w:hAnsi="Courier" w:cs="Monaco"/>
          <w:sz w:val="18"/>
          <w:szCs w:val="22"/>
        </w:rPr>
      </w:pPr>
      <w:r w:rsidRPr="007F778D">
        <w:rPr>
          <w:rFonts w:ascii="Courier" w:hAnsi="Courier" w:cs="Monaco"/>
          <w:color w:val="000000"/>
          <w:sz w:val="18"/>
          <w:szCs w:val="22"/>
        </w:rPr>
        <w:t xml:space="preserve">BLCKECOL=                 1131 / science collateral black region end column     </w:t>
      </w:r>
    </w:p>
    <w:p w:rsidR="00404448" w:rsidRPr="007F778D" w:rsidRDefault="00404448" w:rsidP="00404448">
      <w:pPr>
        <w:widowControl w:val="0"/>
        <w:autoSpaceDE w:val="0"/>
        <w:autoSpaceDN w:val="0"/>
        <w:adjustRightInd w:val="0"/>
        <w:spacing w:after="0"/>
        <w:rPr>
          <w:rFonts w:ascii="Courier" w:hAnsi="Courier" w:cs="Monaco"/>
          <w:sz w:val="18"/>
          <w:szCs w:val="22"/>
        </w:rPr>
      </w:pPr>
      <w:r w:rsidRPr="007F778D">
        <w:rPr>
          <w:rFonts w:ascii="Courier" w:hAnsi="Courier" w:cs="Monaco"/>
          <w:color w:val="000000"/>
          <w:sz w:val="18"/>
          <w:szCs w:val="22"/>
        </w:rPr>
        <w:t xml:space="preserve">NCOLBLCK=                   14 / number of columns binned in black region       </w:t>
      </w:r>
    </w:p>
    <w:p w:rsidR="00404448" w:rsidRDefault="00404448" w:rsidP="00404448"/>
    <w:p w:rsidR="00404448" w:rsidRPr="007F778D" w:rsidRDefault="00404448" w:rsidP="00404448">
      <w:r w:rsidRPr="005A13B2">
        <w:rPr>
          <w:rFonts w:ascii="Courier" w:hAnsi="Courier"/>
        </w:rPr>
        <w:t>LCFXDOFF</w:t>
      </w:r>
      <w:r>
        <w:t xml:space="preserve"> and </w:t>
      </w:r>
      <w:r w:rsidRPr="005A13B2">
        <w:rPr>
          <w:rFonts w:ascii="Courier" w:hAnsi="Courier"/>
        </w:rPr>
        <w:t>SCFXDOFF</w:t>
      </w:r>
      <w:r>
        <w:t xml:space="preserve"> are the same for each channel, and are not physically significant.  The black level per frame in DN for each channel is given by the header item </w:t>
      </w:r>
      <w:r w:rsidRPr="005A13B2">
        <w:rPr>
          <w:rFonts w:ascii="Courier" w:hAnsi="Courier"/>
        </w:rPr>
        <w:t>MEANBLCK</w:t>
      </w:r>
      <w:r>
        <w:t xml:space="preserve"> in the FITS extension for that channel, and</w:t>
      </w:r>
      <w:r w:rsidR="00D11DF1">
        <w:t xml:space="preserve"> is typically about 700 DN. KAM §2.4 has additional description</w:t>
      </w:r>
      <w:r>
        <w:t xml:space="preserve"> of these and other parameters.</w:t>
      </w:r>
    </w:p>
    <w:p w:rsidR="00404448" w:rsidRPr="00394F88" w:rsidRDefault="00404448" w:rsidP="00404448">
      <w:pPr>
        <w:pStyle w:val="Heading2"/>
        <w:rPr>
          <w:sz w:val="22"/>
        </w:rPr>
      </w:pPr>
      <w:bookmarkStart w:id="267" w:name="_Ref108769278"/>
      <w:bookmarkStart w:id="268" w:name="_Toc322942221"/>
      <w:bookmarkEnd w:id="265"/>
      <w:r w:rsidRPr="00394F88">
        <w:rPr>
          <w:sz w:val="22"/>
        </w:rPr>
        <w:t>Times and Time Stamps</w:t>
      </w:r>
      <w:bookmarkEnd w:id="268"/>
    </w:p>
    <w:p w:rsidR="006744FE" w:rsidRDefault="00396167" w:rsidP="00404448">
      <w:r>
        <w:t xml:space="preserve">Precise and accurate calculation </w:t>
      </w:r>
      <w:r w:rsidR="00404448">
        <w:t xml:space="preserve">of the absolute time of </w:t>
      </w:r>
      <w:r>
        <w:t xml:space="preserve">observed events is a basic function of any observatory. </w:t>
      </w:r>
      <w:r w:rsidR="00404448">
        <w:t xml:space="preserve">This Section describes the </w:t>
      </w:r>
      <w:r w:rsidR="00432C69">
        <w:t xml:space="preserve">times generated </w:t>
      </w:r>
      <w:r w:rsidR="006744FE">
        <w:t>by e</w:t>
      </w:r>
      <w:r w:rsidR="00E150EF">
        <w:t>vents i</w:t>
      </w:r>
      <w:r w:rsidR="00432C69">
        <w:t>n the Flight System</w:t>
      </w:r>
      <w:r w:rsidR="006744FE">
        <w:t>.</w:t>
      </w:r>
    </w:p>
    <w:p w:rsidR="00404448" w:rsidRDefault="00404448" w:rsidP="00404448">
      <w:r>
        <w:t>Time on board the spacecraft is recorded as a Vehicle Time Code (VTC), which has a resolution of 3.9 ms. Cadence data is stamped with the VTC of the end o</w:t>
      </w:r>
      <w:r w:rsidR="00D86915">
        <w:t xml:space="preserve">f the cadence.  At the MOC, </w:t>
      </w:r>
      <w:r>
        <w:t>VTC is converted</w:t>
      </w:r>
      <w:r w:rsidR="009A6433">
        <w:t xml:space="preserve"> to</w:t>
      </w:r>
      <w:r w:rsidR="00D86915">
        <w:t xml:space="preserve"> Coordinated Universal Time (</w:t>
      </w:r>
      <w:r w:rsidR="009A6433">
        <w:t>UTC</w:t>
      </w:r>
      <w:r w:rsidR="00D86915">
        <w:t>)</w:t>
      </w:r>
      <w:r>
        <w:t xml:space="preserve"> using knowledge of </w:t>
      </w:r>
      <w:r w:rsidR="004A3FBE" w:rsidRPr="004A3FBE">
        <w:rPr>
          <w:i/>
        </w:rPr>
        <w:t>Kepler</w:t>
      </w:r>
      <w:r>
        <w:t xml:space="preserve">’s position and the comparison of time stamps in time correlation packets generated onboard the spacecraft with the Earth Received Time (ERT) of the packet.  </w:t>
      </w:r>
      <w:r w:rsidR="00D86915">
        <w:t>At the SOC, per-cadence UTCs are converted to per-target Barycentric Dynamical Time (TDB) for each target, as described in KAM §</w:t>
      </w:r>
      <w:r w:rsidR="00EC415F">
        <w:t>2.1.2</w:t>
      </w:r>
      <w:r w:rsidR="00D86915">
        <w:t xml:space="preserve"> and in more detail in KDCH §6.</w:t>
      </w:r>
    </w:p>
    <w:p w:rsidR="00404448" w:rsidRPr="00845C8E" w:rsidRDefault="00404448" w:rsidP="00396167">
      <w:r>
        <w:t>The time stamp conventions for data flowing into or out of the SOC are described in the FS-GS ICD (BATC 2216784), the DMC-SOC ICD (KDMC-10007), the MOC-DMC ICD (BATC 2207600), and the SOC-MOC ICD (</w:t>
      </w:r>
      <w:r w:rsidRPr="009800EA">
        <w:t>KSOC-21171</w:t>
      </w:r>
      <w:r w:rsidR="000F4896">
        <w:t>)</w:t>
      </w:r>
      <w:r w:rsidR="005A0360">
        <w:t>.</w:t>
      </w:r>
    </w:p>
    <w:p w:rsidR="00404448" w:rsidRPr="00394F88" w:rsidRDefault="001F15F7" w:rsidP="00404448">
      <w:pPr>
        <w:pStyle w:val="Heading2"/>
        <w:rPr>
          <w:sz w:val="22"/>
        </w:rPr>
      </w:pPr>
      <w:bookmarkStart w:id="269" w:name="_Toc322942222"/>
      <w:bookmarkEnd w:id="267"/>
      <w:r>
        <w:rPr>
          <w:sz w:val="22"/>
        </w:rPr>
        <w:t>Data Compression</w:t>
      </w:r>
      <w:bookmarkEnd w:id="269"/>
    </w:p>
    <w:p w:rsidR="00404448" w:rsidRPr="00331F54" w:rsidRDefault="00404448" w:rsidP="00404448">
      <w:r>
        <w:t xml:space="preserve">In order to observe as many stars as possible while keeping the data volume within the </w:t>
      </w:r>
      <w:r w:rsidR="00A1269A">
        <w:t>capacity of the SSR, the data is</w:t>
      </w:r>
      <w:r>
        <w:t xml:space="preserve"> compressed in 3 steps</w:t>
      </w:r>
      <w:r w:rsidR="001F15F7">
        <w:t xml:space="preserve"> detailed below</w:t>
      </w:r>
      <w:r>
        <w:t>:  Requantization, Baseline Subtraction, and Huffman (entrop</w:t>
      </w:r>
      <w:r w:rsidR="00A1269A">
        <w:t xml:space="preserve">ic) encoding. </w:t>
      </w:r>
      <w:r w:rsidR="00B94CDE">
        <w:t xml:space="preserve">These steps occur in the Flight System and are reversed before data arrives at the SOC, </w:t>
      </w:r>
      <w:r w:rsidR="00A20309">
        <w:t>and hence are described</w:t>
      </w:r>
      <w:r w:rsidR="00B94CDE">
        <w:t xml:space="preserve"> in the KIH.  </w:t>
      </w:r>
      <w:r w:rsidR="00A1269A">
        <w:t xml:space="preserve">For </w:t>
      </w:r>
      <w:r w:rsidR="00A1269A" w:rsidRPr="00A1269A">
        <w:rPr>
          <w:i/>
        </w:rPr>
        <w:t>Kepler</w:t>
      </w:r>
      <w:r w:rsidR="00A1269A">
        <w:t>, these steps</w:t>
      </w:r>
      <w:r w:rsidR="001F15F7">
        <w:t xml:space="preserve"> </w:t>
      </w:r>
      <w:r>
        <w:t>compress</w:t>
      </w:r>
      <w:r w:rsidR="00A1269A">
        <w:t>ed</w:t>
      </w:r>
      <w:r>
        <w:t xml:space="preserve"> 23-b</w:t>
      </w:r>
      <w:r w:rsidR="000F4896">
        <w:t>it cadence pixel values to 4.7-5.4</w:t>
      </w:r>
      <w:r w:rsidR="00A1269A">
        <w:t xml:space="preserve"> bits, averaged over all the targets in a Quarter, as predicted </w:t>
      </w:r>
      <w:r w:rsidR="00645D00">
        <w:t xml:space="preserve">by </w:t>
      </w:r>
      <w:r w:rsidR="00493D38">
        <w:t xml:space="preserve">the Algorithm Theoretical Basis Document (ATBD, </w:t>
      </w:r>
      <w:r w:rsidR="00645D00">
        <w:t xml:space="preserve">Jenkins </w:t>
      </w:r>
      <w:r w:rsidR="00645D00" w:rsidRPr="00645D00">
        <w:rPr>
          <w:i/>
        </w:rPr>
        <w:t>et al.</w:t>
      </w:r>
      <w:r w:rsidR="000F4896">
        <w:t xml:space="preserve"> </w:t>
      </w:r>
      <w:r w:rsidR="00645D00">
        <w:t>(2004)</w:t>
      </w:r>
      <w:r w:rsidR="00493D38">
        <w:t>)</w:t>
      </w:r>
      <w:r w:rsidR="00A3334E">
        <w:t xml:space="preserve"> §12</w:t>
      </w:r>
      <w:r>
        <w:t xml:space="preserve">. Much of the </w:t>
      </w:r>
      <w:r w:rsidR="009758EB">
        <w:t xml:space="preserve">material in this Section </w:t>
      </w:r>
      <w:r w:rsidR="00B94CDE">
        <w:t>follows</w:t>
      </w:r>
      <w:r w:rsidR="00A17345">
        <w:t xml:space="preserve"> </w:t>
      </w:r>
      <w:r w:rsidR="00493D38">
        <w:t>ATBD</w:t>
      </w:r>
      <w:r w:rsidR="00A3334E">
        <w:t xml:space="preserve"> §12</w:t>
      </w:r>
      <w:r w:rsidR="009758EB">
        <w:t>.</w:t>
      </w:r>
      <w:r w:rsidR="00181902">
        <w:t xml:space="preserve">  </w:t>
      </w:r>
    </w:p>
    <w:p w:rsidR="00E0209E" w:rsidRDefault="002F73B9" w:rsidP="002F73B9">
      <w:pPr>
        <w:pStyle w:val="Heading3"/>
      </w:pPr>
      <w:bookmarkStart w:id="270" w:name="_Ref108509379"/>
      <w:bookmarkStart w:id="271" w:name="_Ref108509398"/>
      <w:bookmarkStart w:id="272" w:name="_Ref108509412"/>
      <w:bookmarkStart w:id="273" w:name="_Ref108510425"/>
      <w:bookmarkStart w:id="274" w:name="_Ref108510454"/>
      <w:bookmarkStart w:id="275" w:name="_Ref108510556"/>
      <w:bookmarkStart w:id="276" w:name="_Ref108510598"/>
      <w:bookmarkStart w:id="277" w:name="_Toc322942223"/>
      <w:r>
        <w:t>Requantization</w:t>
      </w:r>
      <w:bookmarkEnd w:id="277"/>
    </w:p>
    <w:p w:rsidR="00E0209E" w:rsidRDefault="00E0209E" w:rsidP="00E0209E">
      <w:r w:rsidRPr="0083455B">
        <w:rPr>
          <w:i/>
        </w:rPr>
        <w:t>Quantization</w:t>
      </w:r>
      <w:r>
        <w:t xml:space="preserve"> is the conversion of an analog signal into DN by the ADC.  The values in the SDA are coadded quantized values </w:t>
      </w:r>
      <w:r w:rsidRPr="0083455B">
        <w:rPr>
          <w:rFonts w:ascii="Times New Roman" w:hAnsi="Times New Roman"/>
          <w:i/>
        </w:rPr>
        <w:t>S</w:t>
      </w:r>
      <w:r>
        <w:t xml:space="preserve">, which are themselves quantized values.  </w:t>
      </w:r>
      <w:r w:rsidRPr="0083455B">
        <w:rPr>
          <w:i/>
        </w:rPr>
        <w:t>Requantization</w:t>
      </w:r>
      <w:r>
        <w:t xml:space="preserve"> is the mapping </w:t>
      </w:r>
      <w:r w:rsidRPr="009422F5">
        <w:rPr>
          <w:rFonts w:ascii="Times New Roman" w:hAnsi="Times New Roman"/>
          <w:b/>
          <w:i/>
        </w:rPr>
        <w:t>R</w:t>
      </w:r>
      <w:r>
        <w:rPr>
          <w:rFonts w:ascii="Times New Roman" w:hAnsi="Times New Roman"/>
        </w:rPr>
        <w:t>(</w:t>
      </w:r>
      <w:r w:rsidRPr="0083455B">
        <w:rPr>
          <w:rFonts w:ascii="Times New Roman" w:hAnsi="Times New Roman"/>
          <w:i/>
        </w:rPr>
        <w:t>S</w:t>
      </w:r>
      <w:r>
        <w:rPr>
          <w:rFonts w:ascii="Times New Roman" w:hAnsi="Times New Roman"/>
        </w:rPr>
        <w:t>)</w:t>
      </w:r>
      <w:r w:rsidR="0009744E">
        <w:t xml:space="preserve"> of quantized pixel values on</w:t>
      </w:r>
      <w:r>
        <w:t>to a smaller number of integer values.  One or more consecutive</w:t>
      </w:r>
      <w:r w:rsidR="0009744E">
        <w:t xml:space="preserve"> quantized values are mapped </w:t>
      </w:r>
      <w:r>
        <w:t xml:space="preserve">to the same requantized value.  The interval in quantized values between adjacent requantized values is the requantization step size </w:t>
      </w:r>
      <w:r w:rsidR="004C78B9" w:rsidRPr="004C78B9">
        <w:rPr>
          <w:position w:val="-12"/>
        </w:rPr>
        <w:pict>
          <v:shape id="_x0000_i1034" type="#_x0000_t75" style="width:17.3pt;height:17.3pt">
            <v:imagedata r:id="rId83" r:pict="rId84" o:title=""/>
          </v:shape>
        </w:pict>
      </w:r>
      <w:r>
        <w:t>; in a continuous approximation, that is</w:t>
      </w:r>
    </w:p>
    <w:p w:rsidR="00E0209E" w:rsidRDefault="004C78B9" w:rsidP="00E0209E">
      <w:r w:rsidRPr="004C78B9">
        <w:rPr>
          <w:position w:val="-30"/>
        </w:rPr>
        <w:pict>
          <v:shape id="_x0000_i1035" type="#_x0000_t75" style="width:60.85pt;height:32.95pt">
            <v:imagedata r:id="rId85" r:pict="rId86" o:title=""/>
          </v:shape>
        </w:pict>
      </w:r>
      <w:r w:rsidR="00E0209E" w:rsidRPr="008675D1">
        <w:t xml:space="preserve"> </w:t>
      </w:r>
      <w:r w:rsidR="00787C35">
        <w:t>.</w:t>
      </w:r>
      <w:r w:rsidR="00E0209E">
        <w:t xml:space="preserve">                                                                                                                          </w:t>
      </w:r>
      <w:r w:rsidR="007A3703">
        <w:t xml:space="preserve">   </w:t>
      </w:r>
      <w:r w:rsidR="00B420EC">
        <w:t xml:space="preserve">  </w:t>
      </w:r>
      <w:r w:rsidR="00E0209E">
        <w:t>Eq.</w:t>
      </w:r>
      <w:r w:rsidR="005B2E7A">
        <w:t xml:space="preserve"> 7.4-</w:t>
      </w:r>
      <w:r w:rsidR="00EE14D4">
        <w:t>1</w:t>
      </w:r>
      <w:r w:rsidR="00E0209E">
        <w:t xml:space="preserve"> </w:t>
      </w:r>
    </w:p>
    <w:p w:rsidR="00E0209E" w:rsidRDefault="00E0209E" w:rsidP="00E0209E">
      <w:r>
        <w:t>This mapping can be designed so that the effective noise added to the quantized value by requantization is a constant percentage of the total noise; hence for higher signal values that are noisier due to shot n</w:t>
      </w:r>
      <w:r w:rsidRPr="00C35BF5">
        <w:rPr>
          <w:rFonts w:ascii="Times New Roman" w:hAnsi="Times New Roman"/>
        </w:rPr>
        <w:t>oise</w:t>
      </w:r>
      <w:r>
        <w:t xml:space="preserve">, more quantized values can be mapped on to a single requantized value.  In this way, the requantized data range has fewer values than the quantized data range, and hence can be represented by a smaller number of bits.   The requantized data is </w:t>
      </w:r>
      <w:r>
        <w:rPr>
          <w:i/>
        </w:rPr>
        <w:t>derequantized</w:t>
      </w:r>
      <w:r>
        <w:t xml:space="preserve"> by mapping </w:t>
      </w:r>
      <w:r w:rsidRPr="009422F5">
        <w:rPr>
          <w:rFonts w:ascii="Times New Roman" w:hAnsi="Times New Roman"/>
          <w:b/>
          <w:i/>
        </w:rPr>
        <w:t>R’</w:t>
      </w:r>
      <w:r>
        <w:rPr>
          <w:rFonts w:ascii="Brush Script MT Italic" w:hAnsi="Brush Script MT Italic"/>
        </w:rPr>
        <w:t xml:space="preserve"> </w:t>
      </w:r>
      <w:r>
        <w:t xml:space="preserve">to give the uncalibrated pixel value S’= </w:t>
      </w:r>
      <w:r w:rsidRPr="009422F5">
        <w:rPr>
          <w:rFonts w:ascii="Times New Roman" w:hAnsi="Times New Roman"/>
          <w:b/>
          <w:i/>
        </w:rPr>
        <w:t>R’R(</w:t>
      </w:r>
      <w:r w:rsidRPr="0083455B">
        <w:rPr>
          <w:rFonts w:ascii="Times New Roman" w:hAnsi="Times New Roman"/>
          <w:i/>
        </w:rPr>
        <w:t>S</w:t>
      </w:r>
      <w:r>
        <w:rPr>
          <w:rFonts w:ascii="Times New Roman" w:hAnsi="Times New Roman"/>
        </w:rPr>
        <w:t>).</w:t>
      </w:r>
      <w:r>
        <w:t xml:space="preserve"> Though this process adds an acceptably small amount of noise, it is noticeable since </w:t>
      </w:r>
      <w:r w:rsidRPr="009422F5">
        <w:rPr>
          <w:rFonts w:ascii="Times New Roman" w:hAnsi="Times New Roman"/>
          <w:b/>
          <w:i/>
        </w:rPr>
        <w:t>R</w:t>
      </w:r>
      <w:r>
        <w:rPr>
          <w:rFonts w:ascii="Times New Roman" w:hAnsi="Times New Roman"/>
        </w:rPr>
        <w:t>(</w:t>
      </w:r>
      <w:r w:rsidRPr="0083455B">
        <w:rPr>
          <w:rFonts w:ascii="Times New Roman" w:hAnsi="Times New Roman"/>
          <w:i/>
        </w:rPr>
        <w:t>S</w:t>
      </w:r>
      <w:r>
        <w:rPr>
          <w:rFonts w:ascii="Times New Roman" w:hAnsi="Times New Roman"/>
        </w:rPr>
        <w:t>)</w:t>
      </w:r>
      <w:r>
        <w:t xml:space="preserve"> is not one-to-one and therefore </w:t>
      </w:r>
      <w:r w:rsidRPr="009422F5">
        <w:rPr>
          <w:rFonts w:ascii="Times New Roman" w:hAnsi="Times New Roman"/>
          <w:b/>
          <w:i/>
        </w:rPr>
        <w:t xml:space="preserve">R’R </w:t>
      </w:r>
      <w:r>
        <w:t xml:space="preserve"> projects the set of all possible S on to a smaller subset of values. The histogram of derequantized values will have gaps since the information about which of the several quantized values mapped to the one recorded requantized value has been lost.</w:t>
      </w:r>
    </w:p>
    <w:p w:rsidR="00E0209E" w:rsidRDefault="00E0209E" w:rsidP="00E0209E">
      <w:r>
        <w:t>Below is a simple example the reader may find informative.</w:t>
      </w:r>
    </w:p>
    <w:p w:rsidR="00E0209E" w:rsidRDefault="00E0209E" w:rsidP="00E0209E">
      <w:r>
        <w:t xml:space="preserve">For simplicity, suppose that the quantization interval </w:t>
      </w:r>
      <w:r w:rsidR="00787C35">
        <w:t xml:space="preserve">(1 DN) </w:t>
      </w:r>
      <w:r>
        <w:t xml:space="preserve">is comparable to or greater than the minimum noise, which in the case of </w:t>
      </w:r>
      <w:r w:rsidRPr="004A3FBE">
        <w:rPr>
          <w:i/>
        </w:rPr>
        <w:t>Kepler</w:t>
      </w:r>
      <w:r>
        <w:t xml:space="preserve"> CCDs is the read noise.  The read noise is at least 0.8 DN for all channels, satisfying this assumption.  Let </w:t>
      </w:r>
      <w:r w:rsidR="00C35BF5">
        <w:sym w:font="Symbol" w:char="F044"/>
      </w:r>
      <w:r w:rsidR="00C35BF5">
        <w:rPr>
          <w:vertAlign w:val="subscript"/>
        </w:rPr>
        <w:t>Q</w:t>
      </w:r>
      <w:r w:rsidR="00C35BF5">
        <w:t>(</w:t>
      </w:r>
      <w:r w:rsidR="00C35BF5" w:rsidRPr="00C35BF5">
        <w:rPr>
          <w:rFonts w:ascii="Times New Roman" w:hAnsi="Times New Roman"/>
          <w:i/>
        </w:rPr>
        <w:t>S</w:t>
      </w:r>
      <w:r w:rsidR="00C35BF5">
        <w:t xml:space="preserve">) </w:t>
      </w:r>
      <w:r w:rsidR="000E49B6">
        <w:t xml:space="preserve">(in DN) </w:t>
      </w:r>
      <w:r w:rsidR="00C35BF5">
        <w:t>then be the requantization interval</w:t>
      </w:r>
      <w:r>
        <w:t xml:space="preserve"> </w:t>
      </w:r>
      <w:r w:rsidR="00C35BF5">
        <w:t>at a</w:t>
      </w:r>
      <w:r>
        <w:t xml:space="preserve"> signal </w:t>
      </w:r>
      <w:r w:rsidR="00C35BF5" w:rsidRPr="00C35BF5">
        <w:rPr>
          <w:rFonts w:ascii="Times New Roman" w:hAnsi="Times New Roman"/>
          <w:i/>
        </w:rPr>
        <w:t>S</w:t>
      </w:r>
      <w:r w:rsidR="00C35BF5">
        <w:rPr>
          <w:rFonts w:ascii="Times New Roman" w:hAnsi="Times New Roman"/>
          <w:i/>
        </w:rPr>
        <w:t>,</w:t>
      </w:r>
      <w:r w:rsidR="00C35BF5" w:rsidRPr="00C35BF5">
        <w:rPr>
          <w:i/>
        </w:rPr>
        <w:t xml:space="preserve"> </w:t>
      </w:r>
      <w:r w:rsidR="00C35BF5" w:rsidRPr="00C35BF5">
        <w:t xml:space="preserve"> </w:t>
      </w:r>
      <w:r w:rsidR="00C35BF5">
        <w:t xml:space="preserve">for which the </w:t>
      </w:r>
      <w:r w:rsidR="003C6F6E">
        <w:t>observed (quantized)</w:t>
      </w:r>
      <w:r>
        <w:t xml:space="preserve"> uncertainty</w:t>
      </w:r>
      <w:r w:rsidR="00C35BF5">
        <w:t xml:space="preserve"> is</w:t>
      </w:r>
      <w:r>
        <w:t xml:space="preserve"> </w:t>
      </w:r>
      <w:r>
        <w:sym w:font="Symbol" w:char="F073"/>
      </w:r>
      <w:r w:rsidR="00C35BF5">
        <w:rPr>
          <w:rFonts w:ascii="Times New Roman" w:hAnsi="Times New Roman"/>
          <w:i/>
          <w:vertAlign w:val="subscript"/>
        </w:rPr>
        <w:t>q</w:t>
      </w:r>
      <w:r w:rsidR="00C35BF5">
        <w:rPr>
          <w:rFonts w:ascii="Times New Roman" w:hAnsi="Times New Roman"/>
        </w:rPr>
        <w:t>(</w:t>
      </w:r>
      <w:r w:rsidR="00C35BF5" w:rsidRPr="00C35BF5">
        <w:rPr>
          <w:rFonts w:ascii="Times New Roman" w:hAnsi="Times New Roman"/>
          <w:i/>
        </w:rPr>
        <w:t>S</w:t>
      </w:r>
      <w:r w:rsidR="00C35BF5">
        <w:rPr>
          <w:rFonts w:ascii="Times New Roman" w:hAnsi="Times New Roman"/>
        </w:rPr>
        <w:t>)</w:t>
      </w:r>
      <w:r>
        <w:t xml:space="preserve">.  Then the uncertainty in the requantized then derequantized values </w:t>
      </w:r>
      <w:r w:rsidRPr="00C35BF5">
        <w:rPr>
          <w:rFonts w:ascii="Times New Roman" w:hAnsi="Times New Roman"/>
          <w:i/>
        </w:rPr>
        <w:t>S</w:t>
      </w:r>
      <w:r>
        <w:t xml:space="preserve">’, </w:t>
      </w:r>
      <w:r>
        <w:sym w:font="Symbol" w:char="F073"/>
      </w:r>
      <w:r>
        <w:rPr>
          <w:rFonts w:ascii="Times New Roman" w:hAnsi="Times New Roman"/>
          <w:i/>
          <w:vertAlign w:val="subscript"/>
        </w:rPr>
        <w:t>R’R</w:t>
      </w:r>
      <w:r>
        <w:t xml:space="preserve"> , is simply the sum of the observational noise and the quantization noise:</w:t>
      </w:r>
    </w:p>
    <w:p w:rsidR="00E0209E" w:rsidRDefault="004C78B9" w:rsidP="00E0209E">
      <w:pPr>
        <w:tabs>
          <w:tab w:val="center" w:pos="4680"/>
          <w:tab w:val="right" w:pos="9360"/>
        </w:tabs>
      </w:pPr>
      <w:r w:rsidRPr="004C78B9">
        <w:rPr>
          <w:position w:val="-12"/>
        </w:rPr>
        <w:pict>
          <v:shape id="_x0000_i1036" type="#_x0000_t75" style="width:88.75pt;height:17.3pt">
            <v:imagedata r:id="rId87" r:pict="rId88" o:title=""/>
          </v:shape>
        </w:pict>
      </w:r>
      <w:r w:rsidR="00E0209E">
        <w:t xml:space="preserve">                                                                                                                     </w:t>
      </w:r>
      <w:r w:rsidR="007A3703">
        <w:t xml:space="preserve"> </w:t>
      </w:r>
      <w:r w:rsidR="00B420EC">
        <w:t xml:space="preserve">  </w:t>
      </w:r>
      <w:r w:rsidR="00E0209E">
        <w:t>Eq.</w:t>
      </w:r>
      <w:r w:rsidR="00EE14D4">
        <w:t xml:space="preserve"> 7.4-2</w:t>
      </w:r>
      <w:r w:rsidR="00E0209E">
        <w:tab/>
      </w:r>
    </w:p>
    <w:p w:rsidR="00E0209E" w:rsidRDefault="00E0209E" w:rsidP="00E0209E">
      <w:r>
        <w:t>in which all quantities are a function of S and in units of DN per cadence.   Further simplifying by setting read noise per frame to 1 DN and black level to zero</w:t>
      </w:r>
    </w:p>
    <w:p w:rsidR="00E0209E" w:rsidRDefault="004C78B9" w:rsidP="00E0209E">
      <w:r w:rsidRPr="004C78B9">
        <w:rPr>
          <w:position w:val="-12"/>
        </w:rPr>
        <w:pict>
          <v:shape id="_x0000_i1037" type="#_x0000_t75" style="width:83.15pt;height:17.3pt">
            <v:imagedata r:id="rId89" r:pict="rId90" o:title=""/>
          </v:shape>
        </w:pict>
      </w:r>
      <w:r w:rsidR="00E0209E" w:rsidRPr="008675D1">
        <w:t xml:space="preserve"> </w:t>
      </w:r>
      <w:r w:rsidR="00E0209E">
        <w:t xml:space="preserve">                                                                                                                      </w:t>
      </w:r>
      <w:r w:rsidR="007A3703">
        <w:t xml:space="preserve">  </w:t>
      </w:r>
      <w:r w:rsidR="00B420EC">
        <w:t xml:space="preserve"> </w:t>
      </w:r>
      <w:r w:rsidR="00E0209E">
        <w:t xml:space="preserve">Eq. </w:t>
      </w:r>
      <w:r w:rsidR="00EE14D4">
        <w:t>7.4</w:t>
      </w:r>
      <w:r w:rsidR="00E0209E">
        <w:t>-3</w:t>
      </w:r>
    </w:p>
    <w:p w:rsidR="00E0209E" w:rsidRDefault="00A24423" w:rsidP="00E0209E">
      <w:r>
        <w:t>where</w:t>
      </w:r>
      <w:r w:rsidR="00E0209E">
        <w:t xml:space="preserve"> G is the gain in e-/DN and </w:t>
      </w:r>
      <w:r w:rsidR="00E0209E" w:rsidRPr="009221FC">
        <w:rPr>
          <w:rFonts w:ascii="Times" w:hAnsi="Times"/>
          <w:i/>
        </w:rPr>
        <w:t>n</w:t>
      </w:r>
      <w:r w:rsidR="00E0209E" w:rsidRPr="009221FC">
        <w:rPr>
          <w:rFonts w:ascii="Times" w:hAnsi="Times"/>
          <w:i/>
          <w:vertAlign w:val="subscript"/>
        </w:rPr>
        <w:t>fr</w:t>
      </w:r>
      <w:r w:rsidR="00E0209E">
        <w:t xml:space="preserve"> is the number of frames coadded in the cadence.  A choice of </w:t>
      </w:r>
      <w:r w:rsidR="004C78B9" w:rsidRPr="004C78B9">
        <w:rPr>
          <w:position w:val="-12"/>
        </w:rPr>
        <w:pict>
          <v:shape id="_x0000_i1038" type="#_x0000_t75" style="width:37.95pt;height:17.3pt">
            <v:imagedata r:id="rId91" r:pict="rId92" o:title=""/>
          </v:shape>
        </w:pict>
      </w:r>
      <w:r w:rsidR="00E0209E">
        <w:t xml:space="preserve"> increases noise by only 4%.  Then </w:t>
      </w:r>
    </w:p>
    <w:p w:rsidR="00E0209E" w:rsidRDefault="004C78B9" w:rsidP="00E0209E">
      <w:r w:rsidRPr="004C78B9">
        <w:rPr>
          <w:position w:val="-14"/>
        </w:rPr>
        <w:pict>
          <v:shape id="_x0000_i1039" type="#_x0000_t75" style="width:104.95pt;height:21.75pt">
            <v:imagedata r:id="rId93" r:pict="rId94" o:title=""/>
          </v:shape>
        </w:pict>
      </w:r>
      <w:r w:rsidR="00A24423">
        <w:t xml:space="preserve"> .</w:t>
      </w:r>
      <w:r w:rsidR="00E0209E">
        <w:t xml:space="preserve">                                                                                                                 Eq. </w:t>
      </w:r>
      <w:r w:rsidR="007A3703">
        <w:t>7.4</w:t>
      </w:r>
      <w:r w:rsidR="00E0209E">
        <w:t>-4</w:t>
      </w:r>
    </w:p>
    <w:p w:rsidR="00E0209E" w:rsidRDefault="00E0209E" w:rsidP="00E0209E">
      <w:r>
        <w:t xml:space="preserve">For typical G = 100 e-/DN and </w:t>
      </w:r>
      <w:r w:rsidRPr="009221FC">
        <w:rPr>
          <w:rFonts w:ascii="Times" w:hAnsi="Times"/>
          <w:i/>
        </w:rPr>
        <w:t>n</w:t>
      </w:r>
      <w:r w:rsidRPr="009221FC">
        <w:rPr>
          <w:rFonts w:ascii="Times" w:hAnsi="Times"/>
          <w:i/>
          <w:vertAlign w:val="subscript"/>
        </w:rPr>
        <w:t>fr</w:t>
      </w:r>
      <w:r>
        <w:rPr>
          <w:rFonts w:ascii="Times" w:hAnsi="Times"/>
          <w:i/>
        </w:rPr>
        <w:t>=</w:t>
      </w:r>
      <w:r w:rsidRPr="009221FC">
        <w:t>270</w:t>
      </w:r>
      <w:r>
        <w:t>, a 22.1 bit range of S (0 to 270*2</w:t>
      </w:r>
      <w:r>
        <w:rPr>
          <w:vertAlign w:val="superscript"/>
        </w:rPr>
        <w:t>14</w:t>
      </w:r>
      <w:r>
        <w:rPr>
          <w:rFonts w:ascii="Verdana" w:hAnsi="Verdana"/>
        </w:rPr>
        <w:t>)</w:t>
      </w:r>
      <w:r>
        <w:t xml:space="preserve"> is mapped on to 15.4 bits to represent the range of R, which is 0 to 42193.</w:t>
      </w:r>
    </w:p>
    <w:p w:rsidR="002F73B9" w:rsidRPr="00E0209E" w:rsidRDefault="00E0209E" w:rsidP="00E0209E">
      <w:r>
        <w:t>In practice, one must include a fixed offset corresponding to the black level for each channel, and account for the maximum observable signal, which is below the maximum A/D output of 2</w:t>
      </w:r>
      <w:r>
        <w:rPr>
          <w:vertAlign w:val="superscript"/>
        </w:rPr>
        <w:t>14</w:t>
      </w:r>
      <w:r>
        <w:t xml:space="preserve">-1.  Additional complications arise from the need to represent the collateral data as well, and the use of the same requantization table for all channels. </w:t>
      </w:r>
    </w:p>
    <w:p w:rsidR="00C0752F" w:rsidRDefault="002F73B9" w:rsidP="002F73B9">
      <w:pPr>
        <w:pStyle w:val="Heading3"/>
      </w:pPr>
      <w:bookmarkStart w:id="278" w:name="_Toc322942224"/>
      <w:r>
        <w:t>Baseline Subtraction</w:t>
      </w:r>
      <w:bookmarkEnd w:id="278"/>
    </w:p>
    <w:p w:rsidR="002F73B9" w:rsidRPr="00C0752F" w:rsidRDefault="00BA61CE" w:rsidP="00C0752F">
      <w:r>
        <w:t xml:space="preserve">If the data were constant, it would be easy to compress by taking just the first value of a data stream!  </w:t>
      </w:r>
      <w:r w:rsidR="006051B9">
        <w:t xml:space="preserve">For variable data, one tries to model the data to some extent in order to reduce the data volume to that needed to explain deviations from the model. </w:t>
      </w:r>
      <w:r w:rsidR="00101F51">
        <w:t>A simple</w:t>
      </w:r>
      <w:r>
        <w:t xml:space="preserve"> nontrivial way to model data is to say that new data is equal to old data for a certain</w:t>
      </w:r>
      <w:r w:rsidR="006051B9">
        <w:t xml:space="preserve"> amount of time into the past; </w:t>
      </w:r>
      <w:r>
        <w:t xml:space="preserve">this is the </w:t>
      </w:r>
      <w:r w:rsidR="006051B9">
        <w:t xml:space="preserve">idea behind Baseline subtraction, in which a baseline requantized pixel set is subtracted from the current requantized pixel set.  For Kepler, </w:t>
      </w:r>
      <w:r w:rsidR="006051B9" w:rsidRPr="006051B9">
        <w:t>baseline</w:t>
      </w:r>
      <w:r w:rsidR="006051B9">
        <w:t>s were</w:t>
      </w:r>
      <w:r w:rsidR="006051B9" w:rsidRPr="006051B9">
        <w:t xml:space="preserve"> stored every 24 hr, then subtracted from </w:t>
      </w:r>
      <w:r w:rsidR="00F33255">
        <w:t xml:space="preserve">the </w:t>
      </w:r>
      <w:r w:rsidR="006051B9" w:rsidRPr="006051B9">
        <w:t>subsequent 24 hr of data.</w:t>
      </w:r>
      <w:r w:rsidR="006051B9">
        <w:t xml:space="preserve">  For K2, data is less predictable because of the roll error, and </w:t>
      </w:r>
      <w:r w:rsidR="006051B9" w:rsidRPr="006051B9">
        <w:t xml:space="preserve">baselines </w:t>
      </w:r>
      <w:r w:rsidR="006051B9">
        <w:t xml:space="preserve">are stored </w:t>
      </w:r>
      <w:r w:rsidR="006051B9" w:rsidRPr="006051B9">
        <w:t xml:space="preserve">every 12 h </w:t>
      </w:r>
      <w:r w:rsidR="006051B9">
        <w:t xml:space="preserve">and phased to avoid thruster firings. </w:t>
      </w:r>
    </w:p>
    <w:p w:rsidR="00AE2D99" w:rsidRDefault="002F73B9" w:rsidP="002F73B9">
      <w:pPr>
        <w:pStyle w:val="Heading3"/>
      </w:pPr>
      <w:bookmarkStart w:id="279" w:name="_Toc322942225"/>
      <w:r>
        <w:t>Huffman Coding</w:t>
      </w:r>
      <w:bookmarkEnd w:id="279"/>
    </w:p>
    <w:p w:rsidR="002F73B9" w:rsidRPr="00AE2D99" w:rsidRDefault="00AE2D99" w:rsidP="00AE2D99">
      <w:r>
        <w:t xml:space="preserve">Huffman coding </w:t>
      </w:r>
      <w:r w:rsidR="006078C5">
        <w:t>compresses the baseline-subtracted requantized data further by assigning sho</w:t>
      </w:r>
      <w:r w:rsidR="002F3A8C">
        <w:t>rt bit strings</w:t>
      </w:r>
      <w:r w:rsidR="006078C5">
        <w:t xml:space="preserve"> to common data numbers a</w:t>
      </w:r>
      <w:r w:rsidR="002F3A8C">
        <w:t>nd long bit strings</w:t>
      </w:r>
      <w:r w:rsidR="006078C5">
        <w:t xml:space="preserve"> to rare data numbers.  These symbols are prefix-encoded, which means that the decoder reads bits until it recognizes the code for a given data number, then knows the next bit begins the code for the next data number.  See Jenkins et al. §12 (2004) and the “Huffman_coding” Wikipedia page for exposition.</w:t>
      </w:r>
    </w:p>
    <w:p w:rsidR="00404448" w:rsidRPr="00394F88" w:rsidRDefault="00404448" w:rsidP="00404448">
      <w:pPr>
        <w:pStyle w:val="Heading2"/>
        <w:rPr>
          <w:sz w:val="22"/>
        </w:rPr>
      </w:pPr>
      <w:bookmarkStart w:id="280" w:name="_Toc322942226"/>
      <w:r w:rsidRPr="00394F88">
        <w:rPr>
          <w:sz w:val="22"/>
        </w:rPr>
        <w:t>Photometric Precision Estimation</w:t>
      </w:r>
      <w:bookmarkEnd w:id="270"/>
      <w:bookmarkEnd w:id="271"/>
      <w:bookmarkEnd w:id="272"/>
      <w:bookmarkEnd w:id="273"/>
      <w:bookmarkEnd w:id="274"/>
      <w:bookmarkEnd w:id="275"/>
      <w:bookmarkEnd w:id="276"/>
      <w:bookmarkEnd w:id="280"/>
    </w:p>
    <w:p w:rsidR="00404448" w:rsidRDefault="00B12552" w:rsidP="00404448">
      <w:r>
        <w:t xml:space="preserve">In the absence of systematic photometric errors, the </w:t>
      </w:r>
      <w:r w:rsidR="009B0663">
        <w:t>photometric precision attainable</w:t>
      </w:r>
      <w:r>
        <w:t xml:space="preserve"> for isolated </w:t>
      </w:r>
      <w:r w:rsidR="00404448">
        <w:t xml:space="preserve">K-F stars </w:t>
      </w:r>
      <w:r>
        <w:t xml:space="preserve">of </w:t>
      </w:r>
      <w:r w:rsidR="00404448">
        <w:t>12</w:t>
      </w:r>
      <w:r w:rsidR="00404448" w:rsidRPr="006D3E0F">
        <w:rPr>
          <w:vertAlign w:val="superscript"/>
        </w:rPr>
        <w:t>th</w:t>
      </w:r>
      <w:r>
        <w:t xml:space="preserve"> magnitude or fainter </w:t>
      </w:r>
      <w:r w:rsidR="009B0663">
        <w:t>is</w:t>
      </w:r>
      <w:r>
        <w:t xml:space="preserve"> approximately</w:t>
      </w:r>
    </w:p>
    <w:p w:rsidR="00404448" w:rsidRDefault="00C27877" w:rsidP="00404448">
      <w:r w:rsidRPr="00C27877">
        <w:rPr>
          <w:position w:val="-32"/>
        </w:rPr>
        <w:object w:dxaOrig="2280" w:dyaOrig="820">
          <v:shape id="_x0000_i1040" type="#_x0000_t75" style="width:113.85pt;height:40.75pt" o:ole="">
            <v:imagedata r:id="rId95" r:pict="rId96" o:title=""/>
          </v:shape>
          <o:OLEObject Type="Embed" ProgID="Equation.3" ShapeID="_x0000_i1040" DrawAspect="Content" ObjectID="_1396684071" r:id="rId97"/>
        </w:object>
      </w:r>
      <w:r w:rsidR="00404448">
        <w:t xml:space="preserve">                                                                                                        </w:t>
      </w:r>
      <w:r w:rsidR="00B420EC">
        <w:t xml:space="preserve">  </w:t>
      </w:r>
      <w:r w:rsidR="00404448">
        <w:t xml:space="preserve">Eq. </w:t>
      </w:r>
      <w:r w:rsidR="00B420EC">
        <w:t>7.5</w:t>
      </w:r>
      <w:r w:rsidR="00404448">
        <w:t>-1</w:t>
      </w:r>
    </w:p>
    <w:p w:rsidR="00404448" w:rsidRDefault="00404448" w:rsidP="00404448">
      <w:r>
        <w:t>and the photocurrent of the target in e-/s is</w:t>
      </w:r>
    </w:p>
    <w:p w:rsidR="00404448" w:rsidRDefault="004C78B9" w:rsidP="00404448">
      <w:r w:rsidRPr="004C78B9">
        <w:rPr>
          <w:position w:val="-12"/>
        </w:rPr>
        <w:pict>
          <v:shape id="_x0000_i1041" type="#_x0000_t75" style="width:116.1pt;height:21.75pt">
            <v:imagedata r:id="rId98" r:pict="rId99" o:title=""/>
          </v:shape>
        </w:pict>
      </w:r>
      <w:r w:rsidR="00404448">
        <w:t xml:space="preserve">                                                                                                            Eq. </w:t>
      </w:r>
      <w:r w:rsidR="005B2E7A">
        <w:t>7.5-2</w:t>
      </w:r>
    </w:p>
    <w:p w:rsidR="00404448" w:rsidRDefault="00404448" w:rsidP="00404448">
      <w:r>
        <w:t xml:space="preserve">where </w:t>
      </w:r>
      <w:r w:rsidRPr="005A7300">
        <w:rPr>
          <w:rFonts w:ascii="Times New Roman" w:hAnsi="Times New Roman"/>
          <w:i/>
        </w:rPr>
        <w:t>f</w:t>
      </w:r>
      <w:r w:rsidRPr="005A7300">
        <w:rPr>
          <w:rFonts w:ascii="Times New Roman" w:hAnsi="Times New Roman"/>
          <w:i/>
          <w:vertAlign w:val="subscript"/>
        </w:rPr>
        <w:t>Kep12</w:t>
      </w:r>
      <w:r>
        <w:t xml:space="preserve"> is the benchmark photoelectron current at the </w:t>
      </w:r>
      <w:r w:rsidR="004A3FBE" w:rsidRPr="004A3FBE">
        <w:rPr>
          <w:i/>
        </w:rPr>
        <w:t>Kepler</w:t>
      </w:r>
      <w:r>
        <w:t xml:space="preserve"> focal plane for a 12</w:t>
      </w:r>
      <w:r w:rsidRPr="00C6026D">
        <w:rPr>
          <w:vertAlign w:val="superscript"/>
        </w:rPr>
        <w:t>th</w:t>
      </w:r>
      <w:r>
        <w:t xml:space="preserve"> magnitude star = 2.1x10</w:t>
      </w:r>
      <w:r>
        <w:rPr>
          <w:vertAlign w:val="superscript"/>
        </w:rPr>
        <w:t>5</w:t>
      </w:r>
      <w:r>
        <w:t xml:space="preserve"> e-/s (Bachtell and Peters, 2008), </w:t>
      </w:r>
      <w:r w:rsidRPr="00E5351E">
        <w:rPr>
          <w:rFonts w:ascii="Times New Roman" w:hAnsi="Times New Roman"/>
          <w:i/>
        </w:rPr>
        <w:t>t</w:t>
      </w:r>
      <w:r w:rsidRPr="00E5351E">
        <w:rPr>
          <w:rFonts w:ascii="Times New Roman" w:hAnsi="Times New Roman"/>
          <w:i/>
          <w:vertAlign w:val="subscript"/>
        </w:rPr>
        <w:t>int</w:t>
      </w:r>
      <w:r>
        <w:t xml:space="preserve"> is the per-frame integration time, </w:t>
      </w:r>
      <w:r w:rsidRPr="00E5351E">
        <w:rPr>
          <w:rFonts w:ascii="Times New Roman" w:hAnsi="Times New Roman"/>
          <w:i/>
        </w:rPr>
        <w:t>n</w:t>
      </w:r>
      <w:r>
        <w:rPr>
          <w:rFonts w:ascii="Times New Roman" w:hAnsi="Times New Roman"/>
          <w:i/>
          <w:vertAlign w:val="subscript"/>
        </w:rPr>
        <w:t xml:space="preserve">fr </w:t>
      </w:r>
      <w:r>
        <w:t xml:space="preserve">= total number of frames in the benchmark 6.5 hr transit period, </w:t>
      </w:r>
      <w:r w:rsidRPr="00E5351E">
        <w:rPr>
          <w:rFonts w:ascii="Times New Roman" w:hAnsi="Times New Roman"/>
          <w:i/>
        </w:rPr>
        <w:t>n</w:t>
      </w:r>
      <w:r w:rsidRPr="00E5351E">
        <w:rPr>
          <w:rFonts w:ascii="Times New Roman" w:hAnsi="Times New Roman"/>
          <w:i/>
          <w:vertAlign w:val="subscript"/>
        </w:rPr>
        <w:t>a</w:t>
      </w:r>
      <w:r>
        <w:t xml:space="preserve"> is the number of pixels in the photometric aperture, </w:t>
      </w:r>
      <w:r w:rsidRPr="00E5351E">
        <w:rPr>
          <w:rFonts w:ascii="Times New Roman" w:hAnsi="Times New Roman"/>
          <w:i/>
        </w:rPr>
        <w:t>m</w:t>
      </w:r>
      <w:r w:rsidRPr="00E5351E">
        <w:rPr>
          <w:rFonts w:ascii="Times New Roman" w:hAnsi="Times New Roman"/>
          <w:i/>
          <w:vertAlign w:val="subscript"/>
        </w:rPr>
        <w:t>Kep</w:t>
      </w:r>
      <w:r>
        <w:t xml:space="preserve"> is the apparent magnitude in the </w:t>
      </w:r>
      <w:r w:rsidR="004A3FBE" w:rsidRPr="004A3FBE">
        <w:rPr>
          <w:i/>
        </w:rPr>
        <w:t>Kepler</w:t>
      </w:r>
      <w:r>
        <w:t xml:space="preserve"> bandpass, </w:t>
      </w:r>
      <w:r w:rsidRPr="00E5351E">
        <w:rPr>
          <w:rFonts w:ascii="Times New Roman" w:hAnsi="Times New Roman"/>
          <w:i/>
        </w:rPr>
        <w:t>N</w:t>
      </w:r>
      <w:r w:rsidRPr="00E5351E">
        <w:rPr>
          <w:rFonts w:ascii="Times New Roman" w:hAnsi="Times New Roman"/>
          <w:i/>
          <w:vertAlign w:val="subscript"/>
        </w:rPr>
        <w:t>R</w:t>
      </w:r>
      <w:r>
        <w:t xml:space="preserve"> the read noise, and </w:t>
      </w:r>
      <w:r w:rsidRPr="00E5351E">
        <w:rPr>
          <w:rFonts w:ascii="Times New Roman" w:hAnsi="Times New Roman"/>
          <w:i/>
        </w:rPr>
        <w:t>p</w:t>
      </w:r>
      <w:r>
        <w:t xml:space="preserve"> is an empirical constant between 1 and 2 which accounts for all othe</w:t>
      </w:r>
      <w:r w:rsidR="002C6B06">
        <w:t>r noise sources.  Modeling</w:t>
      </w:r>
      <w:r w:rsidR="00EE14D4">
        <w:t xml:space="preserve"> and lab photometry experiments</w:t>
      </w:r>
      <w:r>
        <w:t xml:space="preserve"> give p~1.2.  Eq. </w:t>
      </w:r>
      <w:r w:rsidR="00284545">
        <w:t xml:space="preserve">7.5-1 </w:t>
      </w:r>
      <w:r>
        <w:t>ignores stellar variability σ</w:t>
      </w:r>
      <w:r w:rsidRPr="00E35C3C">
        <w:rPr>
          <w:sz w:val="22"/>
          <w:vertAlign w:val="subscript"/>
        </w:rPr>
        <w:t>*</w:t>
      </w:r>
      <w:r>
        <w:t xml:space="preserve">.  The stellar variability is red noise and so does not average down as 1/sqrt(t), and will in general be different for different spectral types and even different members of the same class and type.  However, for the purpose of deriving an error budget for </w:t>
      </w:r>
      <w:r w:rsidR="004A3FBE" w:rsidRPr="004A3FBE">
        <w:rPr>
          <w:i/>
        </w:rPr>
        <w:t>Kepler</w:t>
      </w:r>
      <w:r>
        <w:t>, it was assumed to be white noise of 10 ppm for 12</w:t>
      </w:r>
      <w:r w:rsidRPr="001F523A">
        <w:rPr>
          <w:vertAlign w:val="superscript"/>
        </w:rPr>
        <w:t>th</w:t>
      </w:r>
      <w:r>
        <w:t xml:space="preserve"> magnitude G2V planetary target star</w:t>
      </w:r>
      <w:r w:rsidR="002C6B06">
        <w:t>s</w:t>
      </w:r>
      <w:r>
        <w:t>.  In that sense the total noise, referred to as combined differential photometric precision (CDPP) is</w:t>
      </w:r>
      <w:r w:rsidR="00666537">
        <w:t>:</w:t>
      </w:r>
    </w:p>
    <w:p w:rsidR="00404448" w:rsidRDefault="004C78B9" w:rsidP="00404448">
      <w:r w:rsidRPr="004C78B9">
        <w:rPr>
          <w:position w:val="-10"/>
        </w:rPr>
        <w:pict>
          <v:shape id="_x0000_i1042" type="#_x0000_t75" style="width:68.65pt;height:20.1pt">
            <v:imagedata r:id="rId100" r:pict="rId101" o:title=""/>
          </v:shape>
        </w:pict>
      </w:r>
      <w:r w:rsidR="00666537">
        <w:t xml:space="preserve">                                                                                                                               </w:t>
      </w:r>
      <w:r w:rsidR="00404448">
        <w:t xml:space="preserve">Eq. </w:t>
      </w:r>
      <w:r w:rsidR="005B2E7A">
        <w:t>7.5</w:t>
      </w:r>
      <w:r w:rsidR="00404448">
        <w:t>-3</w:t>
      </w:r>
    </w:p>
    <w:p w:rsidR="00B420EC" w:rsidRDefault="00404448" w:rsidP="00404448">
      <w:r>
        <w:t>For brighter sources the precision will be better than that of a 12</w:t>
      </w:r>
      <w:r w:rsidRPr="006D3E0F">
        <w:rPr>
          <w:vertAlign w:val="superscript"/>
        </w:rPr>
        <w:t>th</w:t>
      </w:r>
      <w:r>
        <w:t xml:space="preserve"> magnitude star, but the simple formula above will be inaccurate as bright star photometry is dominated by systematic effects rather than just shot and read noise.  For very red or blue sources, Eq. </w:t>
      </w:r>
      <w:r w:rsidR="00666537">
        <w:t xml:space="preserve">7.5-1 </w:t>
      </w:r>
      <w:r>
        <w:t>will also be inadequate.</w:t>
      </w:r>
    </w:p>
    <w:p w:rsidR="00404448" w:rsidRDefault="00404448" w:rsidP="00404448">
      <w:r>
        <w:br w:type="page"/>
      </w:r>
    </w:p>
    <w:p w:rsidR="00404448" w:rsidRPr="00A638F3" w:rsidRDefault="00404448" w:rsidP="00404448">
      <w:pPr>
        <w:pStyle w:val="Caption"/>
        <w:keepNext/>
      </w:pPr>
      <w:bookmarkStart w:id="281" w:name="_Toc322942290"/>
      <w:r>
        <w:t xml:space="preserve">Table </w:t>
      </w:r>
      <w:fldSimple w:instr=" SEQ Table \* ARABIC ">
        <w:r w:rsidR="000D2EB4">
          <w:rPr>
            <w:noProof/>
          </w:rPr>
          <w:t>11</w:t>
        </w:r>
      </w:fldSimple>
      <w:r>
        <w:t>:  Photometric precision estimates for stars fainter than 12th magnitude</w:t>
      </w:r>
      <w:r w:rsidR="00793740">
        <w:t>,</w:t>
      </w:r>
      <w:r>
        <w:t xml:space="preserve"> for 6.5 hr of LCs with </w:t>
      </w:r>
      <w:r w:rsidRPr="00A24A2E">
        <w:rPr>
          <w:rFonts w:ascii="Times New Roman" w:hAnsi="Times New Roman"/>
          <w:i/>
        </w:rPr>
        <w:t>t</w:t>
      </w:r>
      <w:r>
        <w:rPr>
          <w:rFonts w:ascii="Times New Roman" w:hAnsi="Times New Roman"/>
          <w:i/>
          <w:vertAlign w:val="subscript"/>
        </w:rPr>
        <w:t>exp</w:t>
      </w:r>
      <w:r>
        <w:t xml:space="preserve"> = 6.0 s/frame.  P</w:t>
      </w:r>
      <w:r>
        <w:rPr>
          <w:vertAlign w:val="subscript"/>
        </w:rPr>
        <w:t>0</w:t>
      </w:r>
      <w:r>
        <w:t xml:space="preserve"> does not include stellar variability, while P does.  Stellar variability is </w:t>
      </w:r>
      <w:r w:rsidR="00793740">
        <w:t xml:space="preserve">assumed to be a </w:t>
      </w:r>
      <w:r>
        <w:t xml:space="preserve">constant 10 ppm for all spectral types in this Table, </w:t>
      </w:r>
      <w:r w:rsidR="00793740">
        <w:t xml:space="preserve">as per </w:t>
      </w:r>
      <w:r w:rsidR="004A3FBE" w:rsidRPr="004A3FBE">
        <w:rPr>
          <w:i/>
        </w:rPr>
        <w:t>Kepler</w:t>
      </w:r>
      <w:r>
        <w:t xml:space="preserve">’s design.  The accurate calculation of P for any particular star will depend on its </w:t>
      </w:r>
      <w:r w:rsidR="004A3FBE" w:rsidRPr="004A3FBE">
        <w:rPr>
          <w:i/>
        </w:rPr>
        <w:t>Kepler</w:t>
      </w:r>
      <w:r>
        <w:t xml:space="preserve"> magnitude, the power spectrum of its variability, and the transit duration over which LCs are averaged, and is outside the scope of this simple model.</w:t>
      </w:r>
      <w:bookmarkEnd w:id="281"/>
    </w:p>
    <w:tbl>
      <w:tblPr>
        <w:tblW w:w="0" w:type="auto"/>
        <w:jc w:val="center"/>
        <w:tblInd w:w="78" w:type="dxa"/>
        <w:tblLayout w:type="fixed"/>
        <w:tblLook w:val="0000"/>
      </w:tblPr>
      <w:tblGrid>
        <w:gridCol w:w="1010"/>
        <w:gridCol w:w="1011"/>
        <w:gridCol w:w="1010"/>
      </w:tblGrid>
      <w:tr w:rsidR="00404448" w:rsidRPr="00A638F3">
        <w:trPr>
          <w:trHeight w:val="247"/>
          <w:jc w:val="center"/>
        </w:trPr>
        <w:tc>
          <w:tcPr>
            <w:tcW w:w="1010" w:type="dxa"/>
            <w:tcBorders>
              <w:top w:val="nil"/>
              <w:left w:val="nil"/>
              <w:bottom w:val="nil"/>
              <w:right w:val="nil"/>
            </w:tcBorders>
          </w:tcPr>
          <w:p w:rsidR="00404448" w:rsidRPr="00831954" w:rsidRDefault="00404448" w:rsidP="00404448">
            <w:pPr>
              <w:autoSpaceDE w:val="0"/>
              <w:autoSpaceDN w:val="0"/>
              <w:adjustRightInd w:val="0"/>
              <w:spacing w:after="0"/>
              <w:rPr>
                <w:rFonts w:eastAsia="Times New Roman" w:cs="Arial"/>
                <w:color w:val="000000"/>
                <w:sz w:val="16"/>
                <w:szCs w:val="16"/>
                <w:vertAlign w:val="subscript"/>
              </w:rPr>
            </w:pPr>
            <w:r>
              <w:rPr>
                <w:rFonts w:eastAsia="Times New Roman" w:cs="Arial"/>
                <w:color w:val="000000"/>
                <w:sz w:val="16"/>
                <w:szCs w:val="16"/>
              </w:rPr>
              <w:t>N</w:t>
            </w:r>
            <w:r>
              <w:rPr>
                <w:rFonts w:eastAsia="Times New Roman" w:cs="Arial"/>
                <w:color w:val="000000"/>
                <w:sz w:val="16"/>
                <w:szCs w:val="16"/>
                <w:vertAlign w:val="subscript"/>
              </w:rPr>
              <w:t>R</w:t>
            </w:r>
          </w:p>
        </w:tc>
        <w:tc>
          <w:tcPr>
            <w:tcW w:w="1011" w:type="dxa"/>
            <w:tcBorders>
              <w:top w:val="nil"/>
              <w:left w:val="nil"/>
              <w:bottom w:val="nil"/>
              <w:right w:val="nil"/>
            </w:tcBorders>
          </w:tcPr>
          <w:p w:rsidR="00404448" w:rsidRPr="00A638F3" w:rsidRDefault="00404448" w:rsidP="00404448">
            <w:pPr>
              <w:autoSpaceDE w:val="0"/>
              <w:autoSpaceDN w:val="0"/>
              <w:adjustRightInd w:val="0"/>
              <w:spacing w:after="0"/>
              <w:jc w:val="right"/>
              <w:rPr>
                <w:rFonts w:eastAsia="Times New Roman" w:cs="Arial"/>
                <w:color w:val="000000"/>
                <w:sz w:val="16"/>
                <w:szCs w:val="16"/>
              </w:rPr>
            </w:pPr>
            <w:r w:rsidRPr="00A638F3">
              <w:rPr>
                <w:rFonts w:eastAsia="Times New Roman" w:cs="Arial"/>
                <w:color w:val="000000"/>
                <w:sz w:val="16"/>
                <w:szCs w:val="16"/>
              </w:rPr>
              <w:t>120</w:t>
            </w:r>
          </w:p>
        </w:tc>
        <w:tc>
          <w:tcPr>
            <w:tcW w:w="1010" w:type="dxa"/>
            <w:tcBorders>
              <w:top w:val="nil"/>
              <w:left w:val="nil"/>
              <w:bottom w:val="nil"/>
              <w:right w:val="nil"/>
            </w:tcBorders>
          </w:tcPr>
          <w:p w:rsidR="00404448" w:rsidRPr="00A638F3" w:rsidRDefault="00404448" w:rsidP="00404448">
            <w:pPr>
              <w:autoSpaceDE w:val="0"/>
              <w:autoSpaceDN w:val="0"/>
              <w:adjustRightInd w:val="0"/>
              <w:spacing w:after="0"/>
              <w:rPr>
                <w:rFonts w:eastAsia="Times New Roman" w:cs="Arial"/>
                <w:color w:val="000000"/>
                <w:sz w:val="16"/>
                <w:szCs w:val="16"/>
              </w:rPr>
            </w:pPr>
            <w:r w:rsidRPr="00A638F3">
              <w:rPr>
                <w:rFonts w:eastAsia="Times New Roman" w:cs="Arial"/>
                <w:color w:val="000000"/>
                <w:sz w:val="16"/>
                <w:szCs w:val="16"/>
              </w:rPr>
              <w:t>e-</w:t>
            </w:r>
          </w:p>
        </w:tc>
      </w:tr>
      <w:tr w:rsidR="00404448" w:rsidRPr="00A638F3">
        <w:trPr>
          <w:trHeight w:val="247"/>
          <w:jc w:val="center"/>
        </w:trPr>
        <w:tc>
          <w:tcPr>
            <w:tcW w:w="1010" w:type="dxa"/>
            <w:tcBorders>
              <w:top w:val="nil"/>
              <w:left w:val="nil"/>
              <w:bottom w:val="nil"/>
              <w:right w:val="nil"/>
            </w:tcBorders>
          </w:tcPr>
          <w:p w:rsidR="00404448" w:rsidRPr="00A638F3" w:rsidRDefault="00404448" w:rsidP="00404448">
            <w:pPr>
              <w:autoSpaceDE w:val="0"/>
              <w:autoSpaceDN w:val="0"/>
              <w:adjustRightInd w:val="0"/>
              <w:spacing w:after="0"/>
              <w:rPr>
                <w:rFonts w:eastAsia="Times New Roman" w:cs="Arial"/>
                <w:color w:val="000000"/>
                <w:sz w:val="16"/>
                <w:szCs w:val="16"/>
              </w:rPr>
            </w:pPr>
            <w:r>
              <w:rPr>
                <w:rFonts w:eastAsia="Times New Roman" w:cs="Arial"/>
                <w:color w:val="000000"/>
                <w:sz w:val="16"/>
                <w:szCs w:val="16"/>
              </w:rPr>
              <w:t>f</w:t>
            </w:r>
            <w:r w:rsidRPr="00831954">
              <w:rPr>
                <w:rFonts w:eastAsia="Times New Roman" w:cs="Arial"/>
                <w:color w:val="000000"/>
                <w:sz w:val="16"/>
                <w:szCs w:val="16"/>
                <w:vertAlign w:val="subscript"/>
              </w:rPr>
              <w:t>12</w:t>
            </w:r>
          </w:p>
        </w:tc>
        <w:tc>
          <w:tcPr>
            <w:tcW w:w="1011" w:type="dxa"/>
            <w:tcBorders>
              <w:top w:val="nil"/>
              <w:left w:val="nil"/>
              <w:bottom w:val="nil"/>
              <w:right w:val="nil"/>
            </w:tcBorders>
          </w:tcPr>
          <w:p w:rsidR="00404448" w:rsidRPr="00A638F3" w:rsidRDefault="00404448" w:rsidP="00404448">
            <w:pPr>
              <w:autoSpaceDE w:val="0"/>
              <w:autoSpaceDN w:val="0"/>
              <w:adjustRightInd w:val="0"/>
              <w:spacing w:after="0"/>
              <w:jc w:val="right"/>
              <w:rPr>
                <w:rFonts w:eastAsia="Times New Roman" w:cs="Arial"/>
                <w:color w:val="000000"/>
                <w:sz w:val="16"/>
                <w:szCs w:val="16"/>
              </w:rPr>
            </w:pPr>
            <w:r w:rsidRPr="00A638F3">
              <w:rPr>
                <w:rFonts w:eastAsia="Times New Roman" w:cs="Arial"/>
                <w:color w:val="000000"/>
                <w:sz w:val="16"/>
                <w:szCs w:val="16"/>
              </w:rPr>
              <w:t>2.00E+05</w:t>
            </w:r>
          </w:p>
        </w:tc>
        <w:tc>
          <w:tcPr>
            <w:tcW w:w="1010" w:type="dxa"/>
            <w:tcBorders>
              <w:top w:val="nil"/>
              <w:left w:val="nil"/>
              <w:bottom w:val="nil"/>
              <w:right w:val="nil"/>
            </w:tcBorders>
          </w:tcPr>
          <w:p w:rsidR="00404448" w:rsidRPr="00A638F3" w:rsidRDefault="00404448" w:rsidP="00404448">
            <w:pPr>
              <w:autoSpaceDE w:val="0"/>
              <w:autoSpaceDN w:val="0"/>
              <w:adjustRightInd w:val="0"/>
              <w:spacing w:after="0"/>
              <w:rPr>
                <w:rFonts w:eastAsia="Times New Roman" w:cs="Arial"/>
                <w:color w:val="000000"/>
                <w:sz w:val="16"/>
                <w:szCs w:val="16"/>
              </w:rPr>
            </w:pPr>
            <w:r w:rsidRPr="00A638F3">
              <w:rPr>
                <w:rFonts w:eastAsia="Times New Roman" w:cs="Arial"/>
                <w:color w:val="000000"/>
                <w:sz w:val="16"/>
                <w:szCs w:val="16"/>
              </w:rPr>
              <w:t>e-/s</w:t>
            </w:r>
          </w:p>
        </w:tc>
      </w:tr>
      <w:tr w:rsidR="00404448" w:rsidRPr="00A638F3">
        <w:trPr>
          <w:trHeight w:val="247"/>
          <w:jc w:val="center"/>
        </w:trPr>
        <w:tc>
          <w:tcPr>
            <w:tcW w:w="1010" w:type="dxa"/>
            <w:tcBorders>
              <w:top w:val="nil"/>
              <w:left w:val="nil"/>
              <w:bottom w:val="nil"/>
              <w:right w:val="nil"/>
            </w:tcBorders>
          </w:tcPr>
          <w:p w:rsidR="00404448" w:rsidRPr="00831954" w:rsidRDefault="00404448" w:rsidP="00404448">
            <w:pPr>
              <w:autoSpaceDE w:val="0"/>
              <w:autoSpaceDN w:val="0"/>
              <w:adjustRightInd w:val="0"/>
              <w:spacing w:after="0"/>
              <w:rPr>
                <w:rFonts w:eastAsia="Times New Roman" w:cs="Arial"/>
                <w:color w:val="000000"/>
                <w:sz w:val="16"/>
                <w:szCs w:val="16"/>
                <w:vertAlign w:val="subscript"/>
              </w:rPr>
            </w:pPr>
            <w:r>
              <w:rPr>
                <w:rFonts w:eastAsia="Times New Roman" w:cs="Arial"/>
                <w:color w:val="000000"/>
                <w:sz w:val="16"/>
                <w:szCs w:val="16"/>
              </w:rPr>
              <w:t>t</w:t>
            </w:r>
            <w:r>
              <w:rPr>
                <w:rFonts w:eastAsia="Times New Roman" w:cs="Arial"/>
                <w:color w:val="000000"/>
                <w:sz w:val="16"/>
                <w:szCs w:val="16"/>
                <w:vertAlign w:val="subscript"/>
              </w:rPr>
              <w:t>exp</w:t>
            </w:r>
          </w:p>
        </w:tc>
        <w:tc>
          <w:tcPr>
            <w:tcW w:w="1011" w:type="dxa"/>
            <w:tcBorders>
              <w:top w:val="nil"/>
              <w:left w:val="nil"/>
              <w:bottom w:val="nil"/>
              <w:right w:val="nil"/>
            </w:tcBorders>
          </w:tcPr>
          <w:p w:rsidR="00404448" w:rsidRPr="00A638F3" w:rsidRDefault="00404448" w:rsidP="00404448">
            <w:pPr>
              <w:autoSpaceDE w:val="0"/>
              <w:autoSpaceDN w:val="0"/>
              <w:adjustRightInd w:val="0"/>
              <w:spacing w:after="0"/>
              <w:jc w:val="right"/>
              <w:rPr>
                <w:rFonts w:eastAsia="Times New Roman" w:cs="Arial"/>
                <w:color w:val="000000"/>
                <w:sz w:val="16"/>
                <w:szCs w:val="16"/>
              </w:rPr>
            </w:pPr>
            <w:r w:rsidRPr="00A638F3">
              <w:rPr>
                <w:rFonts w:eastAsia="Times New Roman" w:cs="Arial"/>
                <w:color w:val="000000"/>
                <w:sz w:val="16"/>
                <w:szCs w:val="16"/>
              </w:rPr>
              <w:t>6</w:t>
            </w:r>
          </w:p>
        </w:tc>
        <w:tc>
          <w:tcPr>
            <w:tcW w:w="1010" w:type="dxa"/>
            <w:tcBorders>
              <w:top w:val="nil"/>
              <w:left w:val="nil"/>
              <w:bottom w:val="nil"/>
              <w:right w:val="nil"/>
            </w:tcBorders>
          </w:tcPr>
          <w:p w:rsidR="00404448" w:rsidRPr="00A638F3" w:rsidRDefault="00404448" w:rsidP="00404448">
            <w:pPr>
              <w:autoSpaceDE w:val="0"/>
              <w:autoSpaceDN w:val="0"/>
              <w:adjustRightInd w:val="0"/>
              <w:spacing w:after="0"/>
              <w:rPr>
                <w:rFonts w:eastAsia="Times New Roman" w:cs="Arial"/>
                <w:color w:val="000000"/>
                <w:sz w:val="16"/>
                <w:szCs w:val="16"/>
              </w:rPr>
            </w:pPr>
            <w:r w:rsidRPr="00A638F3">
              <w:rPr>
                <w:rFonts w:eastAsia="Times New Roman" w:cs="Arial"/>
                <w:color w:val="000000"/>
                <w:sz w:val="16"/>
                <w:szCs w:val="16"/>
              </w:rPr>
              <w:t>S</w:t>
            </w:r>
          </w:p>
        </w:tc>
      </w:tr>
      <w:tr w:rsidR="00404448" w:rsidRPr="00A638F3">
        <w:trPr>
          <w:trHeight w:val="247"/>
          <w:jc w:val="center"/>
        </w:trPr>
        <w:tc>
          <w:tcPr>
            <w:tcW w:w="1010" w:type="dxa"/>
            <w:tcBorders>
              <w:top w:val="nil"/>
              <w:left w:val="nil"/>
              <w:bottom w:val="nil"/>
              <w:right w:val="nil"/>
            </w:tcBorders>
          </w:tcPr>
          <w:p w:rsidR="00404448" w:rsidRPr="00A638F3" w:rsidRDefault="00404448" w:rsidP="00404448">
            <w:pPr>
              <w:autoSpaceDE w:val="0"/>
              <w:autoSpaceDN w:val="0"/>
              <w:adjustRightInd w:val="0"/>
              <w:spacing w:after="0"/>
              <w:rPr>
                <w:rFonts w:eastAsia="Times New Roman" w:cs="Arial"/>
                <w:color w:val="000000"/>
                <w:sz w:val="16"/>
                <w:szCs w:val="16"/>
              </w:rPr>
            </w:pPr>
            <w:r>
              <w:rPr>
                <w:rFonts w:eastAsia="Times New Roman" w:cs="Arial"/>
                <w:color w:val="000000"/>
                <w:sz w:val="16"/>
                <w:szCs w:val="16"/>
              </w:rPr>
              <w:t>n</w:t>
            </w:r>
            <w:r w:rsidRPr="00831954">
              <w:rPr>
                <w:rFonts w:eastAsia="Times New Roman" w:cs="Arial"/>
                <w:color w:val="000000"/>
                <w:sz w:val="16"/>
                <w:szCs w:val="16"/>
                <w:vertAlign w:val="subscript"/>
              </w:rPr>
              <w:t>fr</w:t>
            </w:r>
          </w:p>
        </w:tc>
        <w:tc>
          <w:tcPr>
            <w:tcW w:w="1011" w:type="dxa"/>
            <w:tcBorders>
              <w:top w:val="nil"/>
              <w:left w:val="nil"/>
              <w:bottom w:val="nil"/>
              <w:right w:val="nil"/>
            </w:tcBorders>
          </w:tcPr>
          <w:p w:rsidR="00404448" w:rsidRPr="00A638F3" w:rsidRDefault="00404448" w:rsidP="00404448">
            <w:pPr>
              <w:autoSpaceDE w:val="0"/>
              <w:autoSpaceDN w:val="0"/>
              <w:adjustRightInd w:val="0"/>
              <w:spacing w:after="0"/>
              <w:jc w:val="right"/>
              <w:rPr>
                <w:rFonts w:eastAsia="Times New Roman" w:cs="Arial"/>
                <w:color w:val="000000"/>
                <w:sz w:val="16"/>
                <w:szCs w:val="16"/>
              </w:rPr>
            </w:pPr>
            <w:r w:rsidRPr="00A638F3">
              <w:rPr>
                <w:rFonts w:eastAsia="Times New Roman" w:cs="Arial"/>
                <w:color w:val="000000"/>
                <w:sz w:val="16"/>
                <w:szCs w:val="16"/>
              </w:rPr>
              <w:t>3575</w:t>
            </w:r>
          </w:p>
        </w:tc>
        <w:tc>
          <w:tcPr>
            <w:tcW w:w="1010" w:type="dxa"/>
            <w:tcBorders>
              <w:top w:val="nil"/>
              <w:left w:val="nil"/>
              <w:bottom w:val="nil"/>
              <w:right w:val="nil"/>
            </w:tcBorders>
          </w:tcPr>
          <w:p w:rsidR="00404448" w:rsidRPr="00A638F3" w:rsidRDefault="00404448" w:rsidP="00404448">
            <w:pPr>
              <w:autoSpaceDE w:val="0"/>
              <w:autoSpaceDN w:val="0"/>
              <w:adjustRightInd w:val="0"/>
              <w:spacing w:after="0"/>
              <w:jc w:val="right"/>
              <w:rPr>
                <w:rFonts w:eastAsia="Times New Roman" w:cs="Arial"/>
                <w:color w:val="000000"/>
                <w:sz w:val="16"/>
                <w:szCs w:val="16"/>
              </w:rPr>
            </w:pPr>
          </w:p>
        </w:tc>
      </w:tr>
      <w:tr w:rsidR="00404448" w:rsidRPr="00A638F3">
        <w:trPr>
          <w:trHeight w:val="247"/>
          <w:jc w:val="center"/>
        </w:trPr>
        <w:tc>
          <w:tcPr>
            <w:tcW w:w="1010" w:type="dxa"/>
            <w:tcBorders>
              <w:top w:val="nil"/>
              <w:left w:val="nil"/>
              <w:bottom w:val="nil"/>
              <w:right w:val="nil"/>
            </w:tcBorders>
          </w:tcPr>
          <w:p w:rsidR="00404448" w:rsidRPr="00A638F3" w:rsidRDefault="00404448" w:rsidP="00404448">
            <w:pPr>
              <w:autoSpaceDE w:val="0"/>
              <w:autoSpaceDN w:val="0"/>
              <w:adjustRightInd w:val="0"/>
              <w:spacing w:after="0"/>
              <w:rPr>
                <w:rFonts w:eastAsia="Times New Roman" w:cs="Arial"/>
                <w:color w:val="000000"/>
                <w:sz w:val="16"/>
                <w:szCs w:val="16"/>
              </w:rPr>
            </w:pPr>
            <w:r w:rsidRPr="00A638F3">
              <w:rPr>
                <w:rFonts w:eastAsia="Times New Roman" w:cs="Arial"/>
                <w:color w:val="000000"/>
                <w:sz w:val="16"/>
                <w:szCs w:val="16"/>
              </w:rPr>
              <w:t>n_a</w:t>
            </w:r>
          </w:p>
        </w:tc>
        <w:tc>
          <w:tcPr>
            <w:tcW w:w="1011" w:type="dxa"/>
            <w:tcBorders>
              <w:top w:val="nil"/>
              <w:left w:val="nil"/>
              <w:bottom w:val="nil"/>
              <w:right w:val="nil"/>
            </w:tcBorders>
          </w:tcPr>
          <w:p w:rsidR="00404448" w:rsidRPr="00A638F3" w:rsidRDefault="00404448" w:rsidP="00404448">
            <w:pPr>
              <w:autoSpaceDE w:val="0"/>
              <w:autoSpaceDN w:val="0"/>
              <w:adjustRightInd w:val="0"/>
              <w:spacing w:after="0"/>
              <w:jc w:val="right"/>
              <w:rPr>
                <w:rFonts w:eastAsia="Times New Roman" w:cs="Arial"/>
                <w:color w:val="000000"/>
                <w:sz w:val="16"/>
                <w:szCs w:val="16"/>
              </w:rPr>
            </w:pPr>
            <w:r w:rsidRPr="00A638F3">
              <w:rPr>
                <w:rFonts w:eastAsia="Times New Roman" w:cs="Arial"/>
                <w:color w:val="000000"/>
                <w:sz w:val="16"/>
                <w:szCs w:val="16"/>
              </w:rPr>
              <w:t>20</w:t>
            </w:r>
          </w:p>
        </w:tc>
        <w:tc>
          <w:tcPr>
            <w:tcW w:w="1010" w:type="dxa"/>
            <w:tcBorders>
              <w:top w:val="nil"/>
              <w:left w:val="nil"/>
              <w:bottom w:val="nil"/>
              <w:right w:val="nil"/>
            </w:tcBorders>
          </w:tcPr>
          <w:p w:rsidR="00404448" w:rsidRPr="00A638F3" w:rsidRDefault="00404448" w:rsidP="00404448">
            <w:pPr>
              <w:autoSpaceDE w:val="0"/>
              <w:autoSpaceDN w:val="0"/>
              <w:adjustRightInd w:val="0"/>
              <w:spacing w:after="0"/>
              <w:jc w:val="right"/>
              <w:rPr>
                <w:rFonts w:eastAsia="Times New Roman" w:cs="Arial"/>
                <w:color w:val="000000"/>
                <w:sz w:val="16"/>
                <w:szCs w:val="16"/>
              </w:rPr>
            </w:pPr>
          </w:p>
        </w:tc>
      </w:tr>
      <w:tr w:rsidR="00404448" w:rsidRPr="00A638F3">
        <w:trPr>
          <w:trHeight w:val="247"/>
          <w:jc w:val="center"/>
        </w:trPr>
        <w:tc>
          <w:tcPr>
            <w:tcW w:w="1010" w:type="dxa"/>
            <w:tcBorders>
              <w:top w:val="nil"/>
              <w:left w:val="nil"/>
              <w:bottom w:val="nil"/>
              <w:right w:val="nil"/>
            </w:tcBorders>
          </w:tcPr>
          <w:p w:rsidR="00404448" w:rsidRPr="00A638F3" w:rsidRDefault="00404448" w:rsidP="00404448">
            <w:pPr>
              <w:autoSpaceDE w:val="0"/>
              <w:autoSpaceDN w:val="0"/>
              <w:adjustRightInd w:val="0"/>
              <w:spacing w:after="0"/>
              <w:rPr>
                <w:rFonts w:eastAsia="Times New Roman" w:cs="Arial"/>
                <w:color w:val="000000"/>
                <w:sz w:val="16"/>
                <w:szCs w:val="16"/>
              </w:rPr>
            </w:pPr>
            <w:r w:rsidRPr="00A638F3">
              <w:rPr>
                <w:rFonts w:eastAsia="Times New Roman" w:cs="Arial"/>
                <w:color w:val="000000"/>
                <w:sz w:val="16"/>
                <w:szCs w:val="16"/>
              </w:rPr>
              <w:t>astro noise</w:t>
            </w:r>
          </w:p>
        </w:tc>
        <w:tc>
          <w:tcPr>
            <w:tcW w:w="1011" w:type="dxa"/>
            <w:tcBorders>
              <w:top w:val="nil"/>
              <w:left w:val="nil"/>
              <w:bottom w:val="nil"/>
              <w:right w:val="nil"/>
            </w:tcBorders>
          </w:tcPr>
          <w:p w:rsidR="00404448" w:rsidRPr="00A638F3" w:rsidRDefault="00404448" w:rsidP="00404448">
            <w:pPr>
              <w:autoSpaceDE w:val="0"/>
              <w:autoSpaceDN w:val="0"/>
              <w:adjustRightInd w:val="0"/>
              <w:spacing w:after="0"/>
              <w:jc w:val="right"/>
              <w:rPr>
                <w:rFonts w:eastAsia="Times New Roman" w:cs="Arial"/>
                <w:color w:val="000000"/>
                <w:sz w:val="16"/>
                <w:szCs w:val="16"/>
              </w:rPr>
            </w:pPr>
            <w:r w:rsidRPr="00A638F3">
              <w:rPr>
                <w:rFonts w:eastAsia="Times New Roman" w:cs="Arial"/>
                <w:color w:val="000000"/>
                <w:sz w:val="16"/>
                <w:szCs w:val="16"/>
              </w:rPr>
              <w:t>10</w:t>
            </w:r>
          </w:p>
        </w:tc>
        <w:tc>
          <w:tcPr>
            <w:tcW w:w="1010" w:type="dxa"/>
            <w:tcBorders>
              <w:top w:val="nil"/>
              <w:left w:val="nil"/>
              <w:bottom w:val="nil"/>
              <w:right w:val="nil"/>
            </w:tcBorders>
          </w:tcPr>
          <w:p w:rsidR="00404448" w:rsidRPr="00A638F3" w:rsidRDefault="00404448" w:rsidP="00404448">
            <w:pPr>
              <w:autoSpaceDE w:val="0"/>
              <w:autoSpaceDN w:val="0"/>
              <w:adjustRightInd w:val="0"/>
              <w:spacing w:after="0"/>
              <w:rPr>
                <w:rFonts w:eastAsia="Times New Roman" w:cs="Arial"/>
                <w:color w:val="000000"/>
                <w:sz w:val="16"/>
                <w:szCs w:val="16"/>
              </w:rPr>
            </w:pPr>
            <w:r>
              <w:rPr>
                <w:rFonts w:eastAsia="Times New Roman" w:cs="Arial"/>
                <w:color w:val="000000"/>
                <w:sz w:val="16"/>
                <w:szCs w:val="16"/>
              </w:rPr>
              <w:t>p</w:t>
            </w:r>
            <w:r w:rsidRPr="00A638F3">
              <w:rPr>
                <w:rFonts w:eastAsia="Times New Roman" w:cs="Arial"/>
                <w:color w:val="000000"/>
                <w:sz w:val="16"/>
                <w:szCs w:val="16"/>
              </w:rPr>
              <w:t>pm</w:t>
            </w:r>
          </w:p>
        </w:tc>
      </w:tr>
      <w:tr w:rsidR="00404448" w:rsidRPr="00A638F3">
        <w:trPr>
          <w:trHeight w:val="247"/>
          <w:jc w:val="center"/>
        </w:trPr>
        <w:tc>
          <w:tcPr>
            <w:tcW w:w="1010" w:type="dxa"/>
            <w:tcBorders>
              <w:top w:val="single" w:sz="6" w:space="0" w:color="auto"/>
              <w:left w:val="single" w:sz="6" w:space="0" w:color="auto"/>
              <w:bottom w:val="single" w:sz="6" w:space="0" w:color="auto"/>
              <w:right w:val="single" w:sz="6" w:space="0" w:color="auto"/>
            </w:tcBorders>
          </w:tcPr>
          <w:p w:rsidR="00404448" w:rsidRPr="00A638F3" w:rsidRDefault="00404448" w:rsidP="00404448">
            <w:pPr>
              <w:autoSpaceDE w:val="0"/>
              <w:autoSpaceDN w:val="0"/>
              <w:adjustRightInd w:val="0"/>
              <w:spacing w:after="0"/>
              <w:rPr>
                <w:rFonts w:eastAsia="Times New Roman" w:cs="Arial"/>
                <w:color w:val="000000"/>
                <w:sz w:val="16"/>
                <w:szCs w:val="16"/>
              </w:rPr>
            </w:pPr>
            <w:r>
              <w:rPr>
                <w:rFonts w:eastAsia="Times New Roman" w:cs="Arial"/>
                <w:color w:val="000000"/>
                <w:sz w:val="16"/>
                <w:szCs w:val="16"/>
              </w:rPr>
              <w:t>V</w:t>
            </w:r>
          </w:p>
        </w:tc>
        <w:tc>
          <w:tcPr>
            <w:tcW w:w="1011" w:type="dxa"/>
            <w:tcBorders>
              <w:top w:val="single" w:sz="6" w:space="0" w:color="auto"/>
              <w:left w:val="single" w:sz="6" w:space="0" w:color="auto"/>
              <w:bottom w:val="single" w:sz="6" w:space="0" w:color="auto"/>
              <w:right w:val="single" w:sz="6" w:space="0" w:color="auto"/>
            </w:tcBorders>
          </w:tcPr>
          <w:p w:rsidR="00404448" w:rsidRPr="00A638F3" w:rsidRDefault="00404448" w:rsidP="00404448">
            <w:pPr>
              <w:autoSpaceDE w:val="0"/>
              <w:autoSpaceDN w:val="0"/>
              <w:adjustRightInd w:val="0"/>
              <w:spacing w:after="0"/>
              <w:rPr>
                <w:rFonts w:eastAsia="Times New Roman" w:cs="Arial"/>
                <w:color w:val="000000"/>
                <w:sz w:val="16"/>
                <w:szCs w:val="16"/>
              </w:rPr>
            </w:pPr>
            <w:r w:rsidRPr="00A638F3">
              <w:rPr>
                <w:rFonts w:eastAsia="Times New Roman" w:cs="Arial"/>
                <w:color w:val="000000"/>
                <w:sz w:val="16"/>
                <w:szCs w:val="16"/>
              </w:rPr>
              <w:t>P</w:t>
            </w:r>
            <w:r w:rsidRPr="00831954">
              <w:rPr>
                <w:rFonts w:eastAsia="Times New Roman" w:cs="Arial"/>
                <w:color w:val="000000"/>
                <w:sz w:val="16"/>
                <w:szCs w:val="16"/>
                <w:vertAlign w:val="subscript"/>
              </w:rPr>
              <w:t>o</w:t>
            </w:r>
            <w:r w:rsidRPr="00A638F3">
              <w:rPr>
                <w:rFonts w:eastAsia="Times New Roman" w:cs="Arial"/>
                <w:color w:val="000000"/>
                <w:sz w:val="16"/>
                <w:szCs w:val="16"/>
              </w:rPr>
              <w:t xml:space="preserve"> (ppm)</w:t>
            </w:r>
          </w:p>
        </w:tc>
        <w:tc>
          <w:tcPr>
            <w:tcW w:w="1010" w:type="dxa"/>
            <w:tcBorders>
              <w:top w:val="single" w:sz="6" w:space="0" w:color="auto"/>
              <w:left w:val="single" w:sz="6" w:space="0" w:color="auto"/>
              <w:bottom w:val="single" w:sz="6" w:space="0" w:color="auto"/>
              <w:right w:val="single" w:sz="6" w:space="0" w:color="auto"/>
            </w:tcBorders>
          </w:tcPr>
          <w:p w:rsidR="00404448" w:rsidRPr="00A638F3" w:rsidRDefault="00404448" w:rsidP="00404448">
            <w:pPr>
              <w:autoSpaceDE w:val="0"/>
              <w:autoSpaceDN w:val="0"/>
              <w:adjustRightInd w:val="0"/>
              <w:spacing w:after="0"/>
              <w:rPr>
                <w:rFonts w:eastAsia="Times New Roman" w:cs="Arial"/>
                <w:color w:val="000000"/>
                <w:sz w:val="16"/>
                <w:szCs w:val="16"/>
              </w:rPr>
            </w:pPr>
            <w:r w:rsidRPr="00A638F3">
              <w:rPr>
                <w:rFonts w:eastAsia="Times New Roman" w:cs="Arial"/>
                <w:color w:val="000000"/>
                <w:sz w:val="16"/>
                <w:szCs w:val="16"/>
              </w:rPr>
              <w:t>P(ppm)</w:t>
            </w:r>
          </w:p>
        </w:tc>
      </w:tr>
      <w:tr w:rsidR="00404448" w:rsidRPr="00A638F3">
        <w:trPr>
          <w:trHeight w:val="247"/>
          <w:jc w:val="center"/>
        </w:trPr>
        <w:tc>
          <w:tcPr>
            <w:tcW w:w="1010" w:type="dxa"/>
            <w:tcBorders>
              <w:top w:val="single" w:sz="6" w:space="0" w:color="auto"/>
              <w:left w:val="single" w:sz="6" w:space="0" w:color="auto"/>
              <w:bottom w:val="single" w:sz="6" w:space="0" w:color="auto"/>
              <w:right w:val="single" w:sz="6" w:space="0" w:color="auto"/>
            </w:tcBorders>
          </w:tcPr>
          <w:p w:rsidR="00404448" w:rsidRPr="00A638F3" w:rsidRDefault="00404448" w:rsidP="00404448">
            <w:pPr>
              <w:autoSpaceDE w:val="0"/>
              <w:autoSpaceDN w:val="0"/>
              <w:adjustRightInd w:val="0"/>
              <w:spacing w:after="0"/>
              <w:jc w:val="right"/>
              <w:rPr>
                <w:rFonts w:eastAsia="Times New Roman" w:cs="Arial"/>
                <w:color w:val="000000"/>
              </w:rPr>
            </w:pPr>
            <w:r w:rsidRPr="00A638F3">
              <w:rPr>
                <w:rFonts w:eastAsia="Times New Roman" w:cs="Arial"/>
                <w:color w:val="000000"/>
              </w:rPr>
              <w:t>12.0</w:t>
            </w:r>
          </w:p>
        </w:tc>
        <w:tc>
          <w:tcPr>
            <w:tcW w:w="1011" w:type="dxa"/>
            <w:tcBorders>
              <w:top w:val="single" w:sz="6" w:space="0" w:color="auto"/>
              <w:left w:val="single" w:sz="6" w:space="0" w:color="auto"/>
              <w:bottom w:val="single" w:sz="6" w:space="0" w:color="auto"/>
              <w:right w:val="single" w:sz="6" w:space="0" w:color="auto"/>
            </w:tcBorders>
          </w:tcPr>
          <w:p w:rsidR="00404448" w:rsidRPr="00A638F3" w:rsidRDefault="00404448" w:rsidP="00404448">
            <w:pPr>
              <w:autoSpaceDE w:val="0"/>
              <w:autoSpaceDN w:val="0"/>
              <w:adjustRightInd w:val="0"/>
              <w:spacing w:after="0"/>
              <w:jc w:val="right"/>
              <w:rPr>
                <w:rFonts w:eastAsia="Times New Roman" w:cs="Arial"/>
                <w:color w:val="000000"/>
              </w:rPr>
            </w:pPr>
            <w:r w:rsidRPr="00A638F3">
              <w:rPr>
                <w:rFonts w:eastAsia="Times New Roman" w:cs="Arial"/>
                <w:color w:val="000000"/>
              </w:rPr>
              <w:t>20.4</w:t>
            </w:r>
          </w:p>
        </w:tc>
        <w:tc>
          <w:tcPr>
            <w:tcW w:w="1010" w:type="dxa"/>
            <w:tcBorders>
              <w:top w:val="single" w:sz="6" w:space="0" w:color="auto"/>
              <w:left w:val="single" w:sz="6" w:space="0" w:color="auto"/>
              <w:bottom w:val="single" w:sz="6" w:space="0" w:color="auto"/>
              <w:right w:val="single" w:sz="6" w:space="0" w:color="auto"/>
            </w:tcBorders>
          </w:tcPr>
          <w:p w:rsidR="00404448" w:rsidRPr="00A638F3" w:rsidRDefault="00404448" w:rsidP="00404448">
            <w:pPr>
              <w:autoSpaceDE w:val="0"/>
              <w:autoSpaceDN w:val="0"/>
              <w:adjustRightInd w:val="0"/>
              <w:spacing w:after="0"/>
              <w:jc w:val="right"/>
              <w:rPr>
                <w:rFonts w:eastAsia="Times New Roman" w:cs="Arial"/>
                <w:color w:val="000000"/>
              </w:rPr>
            </w:pPr>
            <w:r w:rsidRPr="00A638F3">
              <w:rPr>
                <w:rFonts w:eastAsia="Times New Roman" w:cs="Arial"/>
                <w:color w:val="000000"/>
              </w:rPr>
              <w:t>22.7</w:t>
            </w:r>
          </w:p>
        </w:tc>
      </w:tr>
      <w:tr w:rsidR="00404448" w:rsidRPr="00A638F3">
        <w:trPr>
          <w:trHeight w:val="247"/>
          <w:jc w:val="center"/>
        </w:trPr>
        <w:tc>
          <w:tcPr>
            <w:tcW w:w="1010" w:type="dxa"/>
            <w:tcBorders>
              <w:top w:val="single" w:sz="6" w:space="0" w:color="auto"/>
              <w:left w:val="single" w:sz="6" w:space="0" w:color="auto"/>
              <w:bottom w:val="single" w:sz="6" w:space="0" w:color="auto"/>
              <w:right w:val="single" w:sz="6" w:space="0" w:color="auto"/>
            </w:tcBorders>
          </w:tcPr>
          <w:p w:rsidR="00404448" w:rsidRPr="00A638F3" w:rsidRDefault="00404448" w:rsidP="00404448">
            <w:pPr>
              <w:autoSpaceDE w:val="0"/>
              <w:autoSpaceDN w:val="0"/>
              <w:adjustRightInd w:val="0"/>
              <w:spacing w:after="0"/>
              <w:jc w:val="right"/>
              <w:rPr>
                <w:rFonts w:eastAsia="Times New Roman" w:cs="Arial"/>
                <w:color w:val="000000"/>
              </w:rPr>
            </w:pPr>
            <w:r w:rsidRPr="00A638F3">
              <w:rPr>
                <w:rFonts w:eastAsia="Times New Roman" w:cs="Arial"/>
                <w:color w:val="000000"/>
              </w:rPr>
              <w:t>12.5</w:t>
            </w:r>
          </w:p>
        </w:tc>
        <w:tc>
          <w:tcPr>
            <w:tcW w:w="1011" w:type="dxa"/>
            <w:tcBorders>
              <w:top w:val="single" w:sz="6" w:space="0" w:color="auto"/>
              <w:left w:val="single" w:sz="6" w:space="0" w:color="auto"/>
              <w:bottom w:val="single" w:sz="6" w:space="0" w:color="auto"/>
              <w:right w:val="single" w:sz="6" w:space="0" w:color="auto"/>
            </w:tcBorders>
          </w:tcPr>
          <w:p w:rsidR="00404448" w:rsidRPr="00A638F3" w:rsidRDefault="00404448" w:rsidP="00404448">
            <w:pPr>
              <w:autoSpaceDE w:val="0"/>
              <w:autoSpaceDN w:val="0"/>
              <w:adjustRightInd w:val="0"/>
              <w:spacing w:after="0"/>
              <w:jc w:val="right"/>
              <w:rPr>
                <w:rFonts w:eastAsia="Times New Roman" w:cs="Arial"/>
                <w:color w:val="000000"/>
              </w:rPr>
            </w:pPr>
            <w:r w:rsidRPr="00A638F3">
              <w:rPr>
                <w:rFonts w:eastAsia="Times New Roman" w:cs="Arial"/>
                <w:color w:val="000000"/>
              </w:rPr>
              <w:t>27.1</w:t>
            </w:r>
          </w:p>
        </w:tc>
        <w:tc>
          <w:tcPr>
            <w:tcW w:w="1010" w:type="dxa"/>
            <w:tcBorders>
              <w:top w:val="single" w:sz="6" w:space="0" w:color="auto"/>
              <w:left w:val="single" w:sz="6" w:space="0" w:color="auto"/>
              <w:bottom w:val="single" w:sz="6" w:space="0" w:color="auto"/>
              <w:right w:val="single" w:sz="6" w:space="0" w:color="auto"/>
            </w:tcBorders>
          </w:tcPr>
          <w:p w:rsidR="00404448" w:rsidRPr="00A638F3" w:rsidRDefault="00404448" w:rsidP="00404448">
            <w:pPr>
              <w:autoSpaceDE w:val="0"/>
              <w:autoSpaceDN w:val="0"/>
              <w:adjustRightInd w:val="0"/>
              <w:spacing w:after="0"/>
              <w:jc w:val="right"/>
              <w:rPr>
                <w:rFonts w:eastAsia="Times New Roman" w:cs="Arial"/>
                <w:color w:val="000000"/>
              </w:rPr>
            </w:pPr>
            <w:r w:rsidRPr="00A638F3">
              <w:rPr>
                <w:rFonts w:eastAsia="Times New Roman" w:cs="Arial"/>
                <w:color w:val="000000"/>
              </w:rPr>
              <w:t>28.9</w:t>
            </w:r>
          </w:p>
        </w:tc>
      </w:tr>
      <w:tr w:rsidR="00404448" w:rsidRPr="00A638F3">
        <w:trPr>
          <w:trHeight w:val="247"/>
          <w:jc w:val="center"/>
        </w:trPr>
        <w:tc>
          <w:tcPr>
            <w:tcW w:w="1010" w:type="dxa"/>
            <w:tcBorders>
              <w:top w:val="single" w:sz="6" w:space="0" w:color="auto"/>
              <w:left w:val="single" w:sz="6" w:space="0" w:color="auto"/>
              <w:bottom w:val="single" w:sz="6" w:space="0" w:color="auto"/>
              <w:right w:val="single" w:sz="6" w:space="0" w:color="auto"/>
            </w:tcBorders>
          </w:tcPr>
          <w:p w:rsidR="00404448" w:rsidRPr="00A638F3" w:rsidRDefault="00404448" w:rsidP="00404448">
            <w:pPr>
              <w:autoSpaceDE w:val="0"/>
              <w:autoSpaceDN w:val="0"/>
              <w:adjustRightInd w:val="0"/>
              <w:spacing w:after="0"/>
              <w:jc w:val="right"/>
              <w:rPr>
                <w:rFonts w:eastAsia="Times New Roman" w:cs="Arial"/>
                <w:color w:val="000000"/>
              </w:rPr>
            </w:pPr>
            <w:r w:rsidRPr="00A638F3">
              <w:rPr>
                <w:rFonts w:eastAsia="Times New Roman" w:cs="Arial"/>
                <w:color w:val="000000"/>
              </w:rPr>
              <w:t>13.0</w:t>
            </w:r>
          </w:p>
        </w:tc>
        <w:tc>
          <w:tcPr>
            <w:tcW w:w="1011" w:type="dxa"/>
            <w:tcBorders>
              <w:top w:val="single" w:sz="6" w:space="0" w:color="auto"/>
              <w:left w:val="single" w:sz="6" w:space="0" w:color="auto"/>
              <w:bottom w:val="single" w:sz="6" w:space="0" w:color="auto"/>
              <w:right w:val="single" w:sz="6" w:space="0" w:color="auto"/>
            </w:tcBorders>
          </w:tcPr>
          <w:p w:rsidR="00404448" w:rsidRPr="00A638F3" w:rsidRDefault="00404448" w:rsidP="00404448">
            <w:pPr>
              <w:autoSpaceDE w:val="0"/>
              <w:autoSpaceDN w:val="0"/>
              <w:adjustRightInd w:val="0"/>
              <w:spacing w:after="0"/>
              <w:jc w:val="right"/>
              <w:rPr>
                <w:rFonts w:eastAsia="Times New Roman" w:cs="Arial"/>
                <w:color w:val="000000"/>
              </w:rPr>
            </w:pPr>
            <w:r w:rsidRPr="00A638F3">
              <w:rPr>
                <w:rFonts w:eastAsia="Times New Roman" w:cs="Arial"/>
                <w:color w:val="000000"/>
              </w:rPr>
              <w:t>36.8</w:t>
            </w:r>
          </w:p>
        </w:tc>
        <w:tc>
          <w:tcPr>
            <w:tcW w:w="1010" w:type="dxa"/>
            <w:tcBorders>
              <w:top w:val="single" w:sz="6" w:space="0" w:color="auto"/>
              <w:left w:val="single" w:sz="6" w:space="0" w:color="auto"/>
              <w:bottom w:val="single" w:sz="6" w:space="0" w:color="auto"/>
              <w:right w:val="single" w:sz="6" w:space="0" w:color="auto"/>
            </w:tcBorders>
          </w:tcPr>
          <w:p w:rsidR="00404448" w:rsidRPr="00A638F3" w:rsidRDefault="00404448" w:rsidP="00404448">
            <w:pPr>
              <w:autoSpaceDE w:val="0"/>
              <w:autoSpaceDN w:val="0"/>
              <w:adjustRightInd w:val="0"/>
              <w:spacing w:after="0"/>
              <w:jc w:val="right"/>
              <w:rPr>
                <w:rFonts w:eastAsia="Times New Roman" w:cs="Arial"/>
                <w:color w:val="000000"/>
              </w:rPr>
            </w:pPr>
            <w:r w:rsidRPr="00A638F3">
              <w:rPr>
                <w:rFonts w:eastAsia="Times New Roman" w:cs="Arial"/>
                <w:color w:val="000000"/>
              </w:rPr>
              <w:t>38.1</w:t>
            </w:r>
          </w:p>
        </w:tc>
      </w:tr>
      <w:tr w:rsidR="00404448" w:rsidRPr="00A638F3">
        <w:trPr>
          <w:trHeight w:val="247"/>
          <w:jc w:val="center"/>
        </w:trPr>
        <w:tc>
          <w:tcPr>
            <w:tcW w:w="1010" w:type="dxa"/>
            <w:tcBorders>
              <w:top w:val="single" w:sz="6" w:space="0" w:color="auto"/>
              <w:left w:val="single" w:sz="6" w:space="0" w:color="auto"/>
              <w:bottom w:val="single" w:sz="6" w:space="0" w:color="auto"/>
              <w:right w:val="single" w:sz="6" w:space="0" w:color="auto"/>
            </w:tcBorders>
          </w:tcPr>
          <w:p w:rsidR="00404448" w:rsidRPr="00A638F3" w:rsidRDefault="00404448" w:rsidP="00404448">
            <w:pPr>
              <w:autoSpaceDE w:val="0"/>
              <w:autoSpaceDN w:val="0"/>
              <w:adjustRightInd w:val="0"/>
              <w:spacing w:after="0"/>
              <w:jc w:val="right"/>
              <w:rPr>
                <w:rFonts w:eastAsia="Times New Roman" w:cs="Arial"/>
                <w:color w:val="000000"/>
              </w:rPr>
            </w:pPr>
            <w:r w:rsidRPr="00A638F3">
              <w:rPr>
                <w:rFonts w:eastAsia="Times New Roman" w:cs="Arial"/>
                <w:color w:val="000000"/>
              </w:rPr>
              <w:t>13.5</w:t>
            </w:r>
          </w:p>
        </w:tc>
        <w:tc>
          <w:tcPr>
            <w:tcW w:w="1011" w:type="dxa"/>
            <w:tcBorders>
              <w:top w:val="single" w:sz="6" w:space="0" w:color="auto"/>
              <w:left w:val="single" w:sz="6" w:space="0" w:color="auto"/>
              <w:bottom w:val="single" w:sz="6" w:space="0" w:color="auto"/>
              <w:right w:val="single" w:sz="6" w:space="0" w:color="auto"/>
            </w:tcBorders>
          </w:tcPr>
          <w:p w:rsidR="00404448" w:rsidRPr="00A638F3" w:rsidRDefault="00404448" w:rsidP="00404448">
            <w:pPr>
              <w:autoSpaceDE w:val="0"/>
              <w:autoSpaceDN w:val="0"/>
              <w:adjustRightInd w:val="0"/>
              <w:spacing w:after="0"/>
              <w:jc w:val="right"/>
              <w:rPr>
                <w:rFonts w:eastAsia="Times New Roman" w:cs="Arial"/>
                <w:color w:val="000000"/>
              </w:rPr>
            </w:pPr>
            <w:r w:rsidRPr="00A638F3">
              <w:rPr>
                <w:rFonts w:eastAsia="Times New Roman" w:cs="Arial"/>
                <w:color w:val="000000"/>
              </w:rPr>
              <w:t>51.1</w:t>
            </w:r>
          </w:p>
        </w:tc>
        <w:tc>
          <w:tcPr>
            <w:tcW w:w="1010" w:type="dxa"/>
            <w:tcBorders>
              <w:top w:val="single" w:sz="6" w:space="0" w:color="auto"/>
              <w:left w:val="single" w:sz="6" w:space="0" w:color="auto"/>
              <w:bottom w:val="single" w:sz="6" w:space="0" w:color="auto"/>
              <w:right w:val="single" w:sz="6" w:space="0" w:color="auto"/>
            </w:tcBorders>
          </w:tcPr>
          <w:p w:rsidR="00404448" w:rsidRPr="00A638F3" w:rsidRDefault="00404448" w:rsidP="00404448">
            <w:pPr>
              <w:autoSpaceDE w:val="0"/>
              <w:autoSpaceDN w:val="0"/>
              <w:adjustRightInd w:val="0"/>
              <w:spacing w:after="0"/>
              <w:jc w:val="right"/>
              <w:rPr>
                <w:rFonts w:eastAsia="Times New Roman" w:cs="Arial"/>
                <w:color w:val="000000"/>
              </w:rPr>
            </w:pPr>
            <w:r w:rsidRPr="00A638F3">
              <w:rPr>
                <w:rFonts w:eastAsia="Times New Roman" w:cs="Arial"/>
                <w:color w:val="000000"/>
              </w:rPr>
              <w:t>52.1</w:t>
            </w:r>
          </w:p>
        </w:tc>
      </w:tr>
      <w:tr w:rsidR="00404448" w:rsidRPr="00A638F3">
        <w:trPr>
          <w:trHeight w:val="247"/>
          <w:jc w:val="center"/>
        </w:trPr>
        <w:tc>
          <w:tcPr>
            <w:tcW w:w="1010" w:type="dxa"/>
            <w:tcBorders>
              <w:top w:val="single" w:sz="6" w:space="0" w:color="auto"/>
              <w:left w:val="single" w:sz="6" w:space="0" w:color="auto"/>
              <w:bottom w:val="single" w:sz="6" w:space="0" w:color="auto"/>
              <w:right w:val="single" w:sz="6" w:space="0" w:color="auto"/>
            </w:tcBorders>
          </w:tcPr>
          <w:p w:rsidR="00404448" w:rsidRPr="00A638F3" w:rsidRDefault="00404448" w:rsidP="00404448">
            <w:pPr>
              <w:autoSpaceDE w:val="0"/>
              <w:autoSpaceDN w:val="0"/>
              <w:adjustRightInd w:val="0"/>
              <w:spacing w:after="0"/>
              <w:jc w:val="right"/>
              <w:rPr>
                <w:rFonts w:eastAsia="Times New Roman" w:cs="Arial"/>
                <w:color w:val="000000"/>
              </w:rPr>
            </w:pPr>
            <w:r w:rsidRPr="00A638F3">
              <w:rPr>
                <w:rFonts w:eastAsia="Times New Roman" w:cs="Arial"/>
                <w:color w:val="000000"/>
              </w:rPr>
              <w:t>14.0</w:t>
            </w:r>
          </w:p>
        </w:tc>
        <w:tc>
          <w:tcPr>
            <w:tcW w:w="1011" w:type="dxa"/>
            <w:tcBorders>
              <w:top w:val="single" w:sz="6" w:space="0" w:color="auto"/>
              <w:left w:val="single" w:sz="6" w:space="0" w:color="auto"/>
              <w:bottom w:val="single" w:sz="6" w:space="0" w:color="auto"/>
              <w:right w:val="single" w:sz="6" w:space="0" w:color="auto"/>
            </w:tcBorders>
          </w:tcPr>
          <w:p w:rsidR="00404448" w:rsidRPr="00A638F3" w:rsidRDefault="00404448" w:rsidP="00404448">
            <w:pPr>
              <w:autoSpaceDE w:val="0"/>
              <w:autoSpaceDN w:val="0"/>
              <w:adjustRightInd w:val="0"/>
              <w:spacing w:after="0"/>
              <w:jc w:val="right"/>
              <w:rPr>
                <w:rFonts w:eastAsia="Times New Roman" w:cs="Arial"/>
                <w:color w:val="000000"/>
              </w:rPr>
            </w:pPr>
            <w:r w:rsidRPr="00A638F3">
              <w:rPr>
                <w:rFonts w:eastAsia="Times New Roman" w:cs="Arial"/>
                <w:color w:val="000000"/>
              </w:rPr>
              <w:t>73.0</w:t>
            </w:r>
          </w:p>
        </w:tc>
        <w:tc>
          <w:tcPr>
            <w:tcW w:w="1010" w:type="dxa"/>
            <w:tcBorders>
              <w:top w:val="single" w:sz="6" w:space="0" w:color="auto"/>
              <w:left w:val="single" w:sz="6" w:space="0" w:color="auto"/>
              <w:bottom w:val="single" w:sz="6" w:space="0" w:color="auto"/>
              <w:right w:val="single" w:sz="6" w:space="0" w:color="auto"/>
            </w:tcBorders>
          </w:tcPr>
          <w:p w:rsidR="00404448" w:rsidRPr="00A638F3" w:rsidRDefault="00404448" w:rsidP="00404448">
            <w:pPr>
              <w:autoSpaceDE w:val="0"/>
              <w:autoSpaceDN w:val="0"/>
              <w:adjustRightInd w:val="0"/>
              <w:spacing w:after="0"/>
              <w:jc w:val="right"/>
              <w:rPr>
                <w:rFonts w:eastAsia="Times New Roman" w:cs="Arial"/>
                <w:color w:val="000000"/>
              </w:rPr>
            </w:pPr>
            <w:r w:rsidRPr="00A638F3">
              <w:rPr>
                <w:rFonts w:eastAsia="Times New Roman" w:cs="Arial"/>
                <w:color w:val="000000"/>
              </w:rPr>
              <w:t>73.7</w:t>
            </w:r>
          </w:p>
        </w:tc>
      </w:tr>
      <w:tr w:rsidR="00404448" w:rsidRPr="00A638F3">
        <w:trPr>
          <w:trHeight w:val="247"/>
          <w:jc w:val="center"/>
        </w:trPr>
        <w:tc>
          <w:tcPr>
            <w:tcW w:w="1010" w:type="dxa"/>
            <w:tcBorders>
              <w:top w:val="single" w:sz="6" w:space="0" w:color="auto"/>
              <w:left w:val="single" w:sz="6" w:space="0" w:color="auto"/>
              <w:bottom w:val="single" w:sz="6" w:space="0" w:color="auto"/>
              <w:right w:val="single" w:sz="6" w:space="0" w:color="auto"/>
            </w:tcBorders>
          </w:tcPr>
          <w:p w:rsidR="00404448" w:rsidRPr="00A638F3" w:rsidRDefault="00404448" w:rsidP="00404448">
            <w:pPr>
              <w:autoSpaceDE w:val="0"/>
              <w:autoSpaceDN w:val="0"/>
              <w:adjustRightInd w:val="0"/>
              <w:spacing w:after="0"/>
              <w:jc w:val="right"/>
              <w:rPr>
                <w:rFonts w:eastAsia="Times New Roman" w:cs="Arial"/>
                <w:color w:val="000000"/>
              </w:rPr>
            </w:pPr>
            <w:r w:rsidRPr="00A638F3">
              <w:rPr>
                <w:rFonts w:eastAsia="Times New Roman" w:cs="Arial"/>
                <w:color w:val="000000"/>
              </w:rPr>
              <w:t>14.5</w:t>
            </w:r>
          </w:p>
        </w:tc>
        <w:tc>
          <w:tcPr>
            <w:tcW w:w="1011" w:type="dxa"/>
            <w:tcBorders>
              <w:top w:val="single" w:sz="6" w:space="0" w:color="auto"/>
              <w:left w:val="single" w:sz="6" w:space="0" w:color="auto"/>
              <w:bottom w:val="single" w:sz="6" w:space="0" w:color="auto"/>
              <w:right w:val="single" w:sz="6" w:space="0" w:color="auto"/>
            </w:tcBorders>
          </w:tcPr>
          <w:p w:rsidR="00404448" w:rsidRPr="00A638F3" w:rsidRDefault="00404448" w:rsidP="00404448">
            <w:pPr>
              <w:autoSpaceDE w:val="0"/>
              <w:autoSpaceDN w:val="0"/>
              <w:adjustRightInd w:val="0"/>
              <w:spacing w:after="0"/>
              <w:jc w:val="right"/>
              <w:rPr>
                <w:rFonts w:eastAsia="Times New Roman" w:cs="Arial"/>
                <w:color w:val="000000"/>
              </w:rPr>
            </w:pPr>
            <w:r w:rsidRPr="00A638F3">
              <w:rPr>
                <w:rFonts w:eastAsia="Times New Roman" w:cs="Arial"/>
                <w:color w:val="000000"/>
              </w:rPr>
              <w:t>106.8</w:t>
            </w:r>
          </w:p>
        </w:tc>
        <w:tc>
          <w:tcPr>
            <w:tcW w:w="1010" w:type="dxa"/>
            <w:tcBorders>
              <w:top w:val="single" w:sz="6" w:space="0" w:color="auto"/>
              <w:left w:val="single" w:sz="6" w:space="0" w:color="auto"/>
              <w:bottom w:val="single" w:sz="6" w:space="0" w:color="auto"/>
              <w:right w:val="single" w:sz="6" w:space="0" w:color="auto"/>
            </w:tcBorders>
          </w:tcPr>
          <w:p w:rsidR="00404448" w:rsidRPr="00A638F3" w:rsidRDefault="00404448" w:rsidP="00404448">
            <w:pPr>
              <w:autoSpaceDE w:val="0"/>
              <w:autoSpaceDN w:val="0"/>
              <w:adjustRightInd w:val="0"/>
              <w:spacing w:after="0"/>
              <w:jc w:val="right"/>
              <w:rPr>
                <w:rFonts w:eastAsia="Times New Roman" w:cs="Arial"/>
                <w:color w:val="000000"/>
              </w:rPr>
            </w:pPr>
            <w:r w:rsidRPr="00A638F3">
              <w:rPr>
                <w:rFonts w:eastAsia="Times New Roman" w:cs="Arial"/>
                <w:color w:val="000000"/>
              </w:rPr>
              <w:t>107.3</w:t>
            </w:r>
          </w:p>
        </w:tc>
      </w:tr>
      <w:tr w:rsidR="00404448" w:rsidRPr="00A638F3">
        <w:trPr>
          <w:trHeight w:val="247"/>
          <w:jc w:val="center"/>
        </w:trPr>
        <w:tc>
          <w:tcPr>
            <w:tcW w:w="1010" w:type="dxa"/>
            <w:tcBorders>
              <w:top w:val="single" w:sz="6" w:space="0" w:color="auto"/>
              <w:left w:val="single" w:sz="6" w:space="0" w:color="auto"/>
              <w:bottom w:val="single" w:sz="6" w:space="0" w:color="auto"/>
              <w:right w:val="single" w:sz="6" w:space="0" w:color="auto"/>
            </w:tcBorders>
          </w:tcPr>
          <w:p w:rsidR="00404448" w:rsidRPr="00A638F3" w:rsidRDefault="00404448" w:rsidP="00404448">
            <w:pPr>
              <w:autoSpaceDE w:val="0"/>
              <w:autoSpaceDN w:val="0"/>
              <w:adjustRightInd w:val="0"/>
              <w:spacing w:after="0"/>
              <w:jc w:val="right"/>
              <w:rPr>
                <w:rFonts w:eastAsia="Times New Roman" w:cs="Arial"/>
                <w:color w:val="000000"/>
              </w:rPr>
            </w:pPr>
            <w:r w:rsidRPr="00A638F3">
              <w:rPr>
                <w:rFonts w:eastAsia="Times New Roman" w:cs="Arial"/>
                <w:color w:val="000000"/>
              </w:rPr>
              <w:t>15.0</w:t>
            </w:r>
          </w:p>
        </w:tc>
        <w:tc>
          <w:tcPr>
            <w:tcW w:w="1011" w:type="dxa"/>
            <w:tcBorders>
              <w:top w:val="single" w:sz="6" w:space="0" w:color="auto"/>
              <w:left w:val="single" w:sz="6" w:space="0" w:color="auto"/>
              <w:bottom w:val="single" w:sz="6" w:space="0" w:color="auto"/>
              <w:right w:val="single" w:sz="6" w:space="0" w:color="auto"/>
            </w:tcBorders>
          </w:tcPr>
          <w:p w:rsidR="00404448" w:rsidRPr="00A638F3" w:rsidRDefault="00404448" w:rsidP="00404448">
            <w:pPr>
              <w:autoSpaceDE w:val="0"/>
              <w:autoSpaceDN w:val="0"/>
              <w:adjustRightInd w:val="0"/>
              <w:spacing w:after="0"/>
              <w:jc w:val="right"/>
              <w:rPr>
                <w:rFonts w:eastAsia="Times New Roman" w:cs="Arial"/>
                <w:color w:val="000000"/>
              </w:rPr>
            </w:pPr>
            <w:r w:rsidRPr="00A638F3">
              <w:rPr>
                <w:rFonts w:eastAsia="Times New Roman" w:cs="Arial"/>
                <w:color w:val="000000"/>
              </w:rPr>
              <w:t>159.9</w:t>
            </w:r>
          </w:p>
        </w:tc>
        <w:tc>
          <w:tcPr>
            <w:tcW w:w="1010" w:type="dxa"/>
            <w:tcBorders>
              <w:top w:val="single" w:sz="6" w:space="0" w:color="auto"/>
              <w:left w:val="single" w:sz="6" w:space="0" w:color="auto"/>
              <w:bottom w:val="single" w:sz="6" w:space="0" w:color="auto"/>
              <w:right w:val="single" w:sz="6" w:space="0" w:color="auto"/>
            </w:tcBorders>
          </w:tcPr>
          <w:p w:rsidR="00404448" w:rsidRPr="00A638F3" w:rsidRDefault="00404448" w:rsidP="00404448">
            <w:pPr>
              <w:autoSpaceDE w:val="0"/>
              <w:autoSpaceDN w:val="0"/>
              <w:adjustRightInd w:val="0"/>
              <w:spacing w:after="0"/>
              <w:jc w:val="right"/>
              <w:rPr>
                <w:rFonts w:eastAsia="Times New Roman" w:cs="Arial"/>
                <w:color w:val="000000"/>
              </w:rPr>
            </w:pPr>
            <w:r w:rsidRPr="00A638F3">
              <w:rPr>
                <w:rFonts w:eastAsia="Times New Roman" w:cs="Arial"/>
                <w:color w:val="000000"/>
              </w:rPr>
              <w:t>160.2</w:t>
            </w:r>
          </w:p>
        </w:tc>
      </w:tr>
      <w:tr w:rsidR="00404448" w:rsidRPr="00A638F3">
        <w:trPr>
          <w:trHeight w:val="247"/>
          <w:jc w:val="center"/>
        </w:trPr>
        <w:tc>
          <w:tcPr>
            <w:tcW w:w="1010" w:type="dxa"/>
            <w:tcBorders>
              <w:top w:val="single" w:sz="6" w:space="0" w:color="auto"/>
              <w:left w:val="single" w:sz="6" w:space="0" w:color="auto"/>
              <w:bottom w:val="single" w:sz="6" w:space="0" w:color="auto"/>
              <w:right w:val="single" w:sz="6" w:space="0" w:color="auto"/>
            </w:tcBorders>
          </w:tcPr>
          <w:p w:rsidR="00404448" w:rsidRPr="00A638F3" w:rsidRDefault="00404448" w:rsidP="00404448">
            <w:pPr>
              <w:autoSpaceDE w:val="0"/>
              <w:autoSpaceDN w:val="0"/>
              <w:adjustRightInd w:val="0"/>
              <w:spacing w:after="0"/>
              <w:jc w:val="right"/>
              <w:rPr>
                <w:rFonts w:eastAsia="Times New Roman" w:cs="Arial"/>
                <w:color w:val="000000"/>
              </w:rPr>
            </w:pPr>
            <w:r w:rsidRPr="00A638F3">
              <w:rPr>
                <w:rFonts w:eastAsia="Times New Roman" w:cs="Arial"/>
                <w:color w:val="000000"/>
              </w:rPr>
              <w:t>15.5</w:t>
            </w:r>
          </w:p>
        </w:tc>
        <w:tc>
          <w:tcPr>
            <w:tcW w:w="1011" w:type="dxa"/>
            <w:tcBorders>
              <w:top w:val="single" w:sz="6" w:space="0" w:color="auto"/>
              <w:left w:val="single" w:sz="6" w:space="0" w:color="auto"/>
              <w:bottom w:val="single" w:sz="6" w:space="0" w:color="auto"/>
              <w:right w:val="single" w:sz="6" w:space="0" w:color="auto"/>
            </w:tcBorders>
          </w:tcPr>
          <w:p w:rsidR="00404448" w:rsidRPr="00A638F3" w:rsidRDefault="00404448" w:rsidP="00404448">
            <w:pPr>
              <w:autoSpaceDE w:val="0"/>
              <w:autoSpaceDN w:val="0"/>
              <w:adjustRightInd w:val="0"/>
              <w:spacing w:after="0"/>
              <w:jc w:val="right"/>
              <w:rPr>
                <w:rFonts w:eastAsia="Times New Roman" w:cs="Arial"/>
                <w:color w:val="000000"/>
              </w:rPr>
            </w:pPr>
            <w:r w:rsidRPr="00A638F3">
              <w:rPr>
                <w:rFonts w:eastAsia="Times New Roman" w:cs="Arial"/>
                <w:color w:val="000000"/>
              </w:rPr>
              <w:t>243.4</w:t>
            </w:r>
          </w:p>
        </w:tc>
        <w:tc>
          <w:tcPr>
            <w:tcW w:w="1010" w:type="dxa"/>
            <w:tcBorders>
              <w:top w:val="single" w:sz="6" w:space="0" w:color="auto"/>
              <w:left w:val="single" w:sz="6" w:space="0" w:color="auto"/>
              <w:bottom w:val="single" w:sz="6" w:space="0" w:color="auto"/>
              <w:right w:val="single" w:sz="6" w:space="0" w:color="auto"/>
            </w:tcBorders>
          </w:tcPr>
          <w:p w:rsidR="00404448" w:rsidRPr="00A638F3" w:rsidRDefault="00404448" w:rsidP="00404448">
            <w:pPr>
              <w:autoSpaceDE w:val="0"/>
              <w:autoSpaceDN w:val="0"/>
              <w:adjustRightInd w:val="0"/>
              <w:spacing w:after="0"/>
              <w:jc w:val="right"/>
              <w:rPr>
                <w:rFonts w:eastAsia="Times New Roman" w:cs="Arial"/>
                <w:color w:val="000000"/>
              </w:rPr>
            </w:pPr>
            <w:r w:rsidRPr="00A638F3">
              <w:rPr>
                <w:rFonts w:eastAsia="Times New Roman" w:cs="Arial"/>
                <w:color w:val="000000"/>
              </w:rPr>
              <w:t>243.6</w:t>
            </w:r>
          </w:p>
        </w:tc>
      </w:tr>
      <w:tr w:rsidR="00404448" w:rsidRPr="00A638F3">
        <w:trPr>
          <w:trHeight w:val="247"/>
          <w:jc w:val="center"/>
        </w:trPr>
        <w:tc>
          <w:tcPr>
            <w:tcW w:w="1010" w:type="dxa"/>
            <w:tcBorders>
              <w:top w:val="single" w:sz="6" w:space="0" w:color="auto"/>
              <w:left w:val="single" w:sz="6" w:space="0" w:color="auto"/>
              <w:bottom w:val="single" w:sz="6" w:space="0" w:color="auto"/>
              <w:right w:val="single" w:sz="6" w:space="0" w:color="auto"/>
            </w:tcBorders>
          </w:tcPr>
          <w:p w:rsidR="00404448" w:rsidRPr="00A638F3" w:rsidRDefault="00404448" w:rsidP="00404448">
            <w:pPr>
              <w:autoSpaceDE w:val="0"/>
              <w:autoSpaceDN w:val="0"/>
              <w:adjustRightInd w:val="0"/>
              <w:spacing w:after="0"/>
              <w:jc w:val="right"/>
              <w:rPr>
                <w:rFonts w:eastAsia="Times New Roman" w:cs="Arial"/>
                <w:color w:val="000000"/>
              </w:rPr>
            </w:pPr>
            <w:r w:rsidRPr="00A638F3">
              <w:rPr>
                <w:rFonts w:eastAsia="Times New Roman" w:cs="Arial"/>
                <w:color w:val="000000"/>
              </w:rPr>
              <w:t>16.0</w:t>
            </w:r>
          </w:p>
        </w:tc>
        <w:tc>
          <w:tcPr>
            <w:tcW w:w="1011" w:type="dxa"/>
            <w:tcBorders>
              <w:top w:val="single" w:sz="6" w:space="0" w:color="auto"/>
              <w:left w:val="single" w:sz="6" w:space="0" w:color="auto"/>
              <w:bottom w:val="single" w:sz="6" w:space="0" w:color="auto"/>
              <w:right w:val="single" w:sz="6" w:space="0" w:color="auto"/>
            </w:tcBorders>
          </w:tcPr>
          <w:p w:rsidR="00404448" w:rsidRPr="00A638F3" w:rsidRDefault="00404448" w:rsidP="00404448">
            <w:pPr>
              <w:autoSpaceDE w:val="0"/>
              <w:autoSpaceDN w:val="0"/>
              <w:adjustRightInd w:val="0"/>
              <w:spacing w:after="0"/>
              <w:jc w:val="right"/>
              <w:rPr>
                <w:rFonts w:eastAsia="Times New Roman" w:cs="Arial"/>
                <w:color w:val="000000"/>
              </w:rPr>
            </w:pPr>
            <w:r w:rsidRPr="00A638F3">
              <w:rPr>
                <w:rFonts w:eastAsia="Times New Roman" w:cs="Arial"/>
                <w:color w:val="000000"/>
              </w:rPr>
              <w:t>375.6</w:t>
            </w:r>
          </w:p>
        </w:tc>
        <w:tc>
          <w:tcPr>
            <w:tcW w:w="1010" w:type="dxa"/>
            <w:tcBorders>
              <w:top w:val="single" w:sz="6" w:space="0" w:color="auto"/>
              <w:left w:val="single" w:sz="6" w:space="0" w:color="auto"/>
              <w:bottom w:val="single" w:sz="6" w:space="0" w:color="auto"/>
              <w:right w:val="single" w:sz="6" w:space="0" w:color="auto"/>
            </w:tcBorders>
          </w:tcPr>
          <w:p w:rsidR="00404448" w:rsidRPr="00A638F3" w:rsidRDefault="00404448" w:rsidP="00404448">
            <w:pPr>
              <w:autoSpaceDE w:val="0"/>
              <w:autoSpaceDN w:val="0"/>
              <w:adjustRightInd w:val="0"/>
              <w:spacing w:after="0"/>
              <w:jc w:val="right"/>
              <w:rPr>
                <w:rFonts w:eastAsia="Times New Roman" w:cs="Arial"/>
                <w:color w:val="000000"/>
              </w:rPr>
            </w:pPr>
            <w:r w:rsidRPr="00A638F3">
              <w:rPr>
                <w:rFonts w:eastAsia="Times New Roman" w:cs="Arial"/>
                <w:color w:val="000000"/>
              </w:rPr>
              <w:t>375.7</w:t>
            </w:r>
          </w:p>
        </w:tc>
      </w:tr>
    </w:tbl>
    <w:p w:rsidR="00793740" w:rsidRDefault="00793740" w:rsidP="00404448">
      <w:pPr>
        <w:jc w:val="center"/>
      </w:pPr>
    </w:p>
    <w:p w:rsidR="00404448" w:rsidRDefault="00793740" w:rsidP="00793740">
      <w:r>
        <w:t xml:space="preserve">KDCH §3 shows statistics for the actual CDPP throughout the </w:t>
      </w:r>
      <w:r w:rsidRPr="00B420EC">
        <w:rPr>
          <w:i/>
        </w:rPr>
        <w:t>Kepler</w:t>
      </w:r>
      <w:r>
        <w:t xml:space="preserve"> mission, compared to a “Shot and Read Noise Limit” which is the estimate in this Section with </w:t>
      </w:r>
      <w:r w:rsidRPr="00793740">
        <w:rPr>
          <w:i/>
        </w:rPr>
        <w:t>p</w:t>
      </w:r>
      <w:r>
        <w:t xml:space="preserve"> = 1.0.  The </w:t>
      </w:r>
      <w:r w:rsidRPr="00151280">
        <w:rPr>
          <w:i/>
        </w:rPr>
        <w:t>Kepler</w:t>
      </w:r>
      <w:r>
        <w:t xml:space="preserve"> instrument and stellar noise properties are discussed in more detail by Gilliland </w:t>
      </w:r>
      <w:r w:rsidRPr="005479E5">
        <w:rPr>
          <w:i/>
        </w:rPr>
        <w:t>et al.</w:t>
      </w:r>
      <w:r>
        <w:t xml:space="preserve"> (2011, 2015).  One of the main conclusions of Gilliland et al. (2011) is the Sun is in fact a fairly atypical “solar-type” star, and a more typical value for </w:t>
      </w:r>
      <w:r>
        <w:sym w:font="Symbol" w:char="F073"/>
      </w:r>
      <w:r>
        <w:rPr>
          <w:vertAlign w:val="subscript"/>
        </w:rPr>
        <w:t>*</w:t>
      </w:r>
      <w:r>
        <w:t xml:space="preserve"> is 20 ppm rather than 10 ppm.</w:t>
      </w:r>
    </w:p>
    <w:p w:rsidR="00404448" w:rsidRPr="00394F88" w:rsidRDefault="00404448" w:rsidP="00404448">
      <w:pPr>
        <w:pStyle w:val="Heading2"/>
        <w:rPr>
          <w:sz w:val="22"/>
        </w:rPr>
      </w:pPr>
      <w:bookmarkStart w:id="282" w:name="_Ref205961087"/>
      <w:bookmarkStart w:id="283" w:name="_Toc322942227"/>
      <w:r w:rsidRPr="00394F88">
        <w:rPr>
          <w:sz w:val="22"/>
        </w:rPr>
        <w:t>Mapping Targets to Pixel Coordinates</w:t>
      </w:r>
      <w:bookmarkEnd w:id="282"/>
      <w:bookmarkEnd w:id="283"/>
    </w:p>
    <w:p w:rsidR="00404448" w:rsidRDefault="00404448" w:rsidP="00404448">
      <w:r>
        <w:t>The software tool RaDec2Pix (</w:t>
      </w:r>
      <w:r w:rsidR="00A5511A">
        <w:t>Jenkins et al. 2016</w:t>
      </w:r>
      <w:r>
        <w:t xml:space="preserve">) converts equatorial coordinates (right ascension &amp; declination) to </w:t>
      </w:r>
      <w:r w:rsidR="004A3FBE" w:rsidRPr="004A3FBE">
        <w:rPr>
          <w:i/>
        </w:rPr>
        <w:t>Kepler</w:t>
      </w:r>
      <w:r>
        <w:t xml:space="preserve"> focal plane coordinates (module, output, row, column) and back</w:t>
      </w:r>
      <w:r w:rsidR="00BD5386">
        <w:t xml:space="preserve"> (See Jenkins </w:t>
      </w:r>
      <w:r w:rsidR="00BD5386" w:rsidRPr="00EF26AE">
        <w:rPr>
          <w:i/>
        </w:rPr>
        <w:t>et al</w:t>
      </w:r>
      <w:r w:rsidR="00BD5386">
        <w:t>. 2004 §10 for theory)</w:t>
      </w:r>
      <w:r>
        <w:t>. The transformations include optical distortions (</w:t>
      </w:r>
      <w:r w:rsidR="00E607E6">
        <w:t>§</w:t>
      </w:r>
      <w:r w:rsidR="004C78B9">
        <w:fldChar w:fldCharType="begin"/>
      </w:r>
      <w:r w:rsidR="00C903B6">
        <w:instrText xml:space="preserve"> REF _Ref205892667 \r \h </w:instrText>
      </w:r>
      <w:r w:rsidR="004C78B9">
        <w:fldChar w:fldCharType="separate"/>
      </w:r>
      <w:r w:rsidR="000D2EB4">
        <w:t>3.8</w:t>
      </w:r>
      <w:r w:rsidR="004C78B9">
        <w:fldChar w:fldCharType="end"/>
      </w:r>
      <w:r>
        <w:t>) based on the angular offsets of the corners of each CCD chip as projected through the optics onto the sky, DVA (</w:t>
      </w:r>
      <w:r w:rsidR="00E607E6">
        <w:t>§</w:t>
      </w:r>
      <w:r w:rsidR="004C78B9">
        <w:fldChar w:fldCharType="begin"/>
      </w:r>
      <w:r w:rsidR="00C903B6">
        <w:instrText xml:space="preserve"> REF _Ref205892689 \r \h </w:instrText>
      </w:r>
      <w:r w:rsidR="004C78B9">
        <w:fldChar w:fldCharType="separate"/>
      </w:r>
      <w:r w:rsidR="000D2EB4">
        <w:t>3.9</w:t>
      </w:r>
      <w:r w:rsidR="004C78B9">
        <w:fldChar w:fldCharType="end"/>
      </w:r>
      <w:r>
        <w:t>), the gap between CCDs on a module and the gaps between modules, and the rotation angle between the row and column axes of the CCDs and the telescope coordinate system.  Th</w:t>
      </w:r>
      <w:r w:rsidR="002F0D41">
        <w:t xml:space="preserve">ese misalignments </w:t>
      </w:r>
      <w:r>
        <w:t>need to be accounted for</w:t>
      </w:r>
      <w:r w:rsidR="000E68E5">
        <w:t xml:space="preserve"> in order to achieve the 0.1 pixel accuracy required by </w:t>
      </w:r>
      <w:r w:rsidR="000E68E5" w:rsidRPr="000E68E5">
        <w:rPr>
          <w:i/>
        </w:rPr>
        <w:t>Kepler</w:t>
      </w:r>
      <w:r>
        <w:t xml:space="preserve">.  </w:t>
      </w:r>
    </w:p>
    <w:p w:rsidR="00404448" w:rsidRDefault="00404448" w:rsidP="00404448">
      <w:r>
        <w:t>Before launc</w:t>
      </w:r>
      <w:r w:rsidR="000568D9">
        <w:t>h, the parameters in RaDec2Pix we</w:t>
      </w:r>
      <w:r>
        <w:t xml:space="preserve">re based on metrology of module and CCD chip locations, and an optical model consistent with images collected by the as-built Photometer.  After launch, the best fit parameters for each of the 84 channels were obtained from star images. </w:t>
      </w:r>
      <w:r w:rsidR="002F6490">
        <w:t>The FC pointing, roll-time, and focal plane geometry models needed to recreate RaDec2Pix have been delivered to MAST (KAM §2.3.5.14-16)</w:t>
      </w:r>
      <w:r w:rsidR="00E37D11">
        <w:t>.</w:t>
      </w:r>
      <w:r w:rsidR="002F6490">
        <w:t xml:space="preserve"> </w:t>
      </w:r>
      <w:r w:rsidR="00CB4108">
        <w:t xml:space="preserve">To obviate the need to recreate the database and retrieval tools </w:t>
      </w:r>
      <w:r>
        <w:t>neede</w:t>
      </w:r>
      <w:r w:rsidR="00585C0A">
        <w:t>d by RaDec2Pix and its inverse (Pix2RaDec),</w:t>
      </w:r>
      <w:r>
        <w:t xml:space="preserve"> </w:t>
      </w:r>
      <w:r w:rsidR="00585C0A">
        <w:t xml:space="preserve">the simplified pixel mapping file </w:t>
      </w:r>
      <w:r w:rsidR="00585C0A" w:rsidRPr="0077740A">
        <w:rPr>
          <w:rFonts w:ascii="Courier" w:hAnsi="Courier"/>
        </w:rPr>
        <w:t>morc_2_ra_dec_4_seasons.xls</w:t>
      </w:r>
      <w:r w:rsidR="00585C0A">
        <w:t xml:space="preserve"> </w:t>
      </w:r>
      <w:r>
        <w:t>showing the corne</w:t>
      </w:r>
      <w:r w:rsidR="009E46E9">
        <w:t xml:space="preserve">rs and centers of each channel </w:t>
      </w:r>
      <w:r>
        <w:t xml:space="preserve">for </w:t>
      </w:r>
      <w:r w:rsidR="009E46E9">
        <w:t>each season (</w:t>
      </w:r>
      <w:r w:rsidR="00627E0D">
        <w:t xml:space="preserve">KAM </w:t>
      </w:r>
      <w:r w:rsidR="009E46E9">
        <w:t>Table 3-1</w:t>
      </w:r>
      <w:r w:rsidR="00627E0D">
        <w:t>)</w:t>
      </w:r>
      <w:r w:rsidR="00585C0A">
        <w:t xml:space="preserve"> has been delivered to MAST as a</w:t>
      </w:r>
      <w:r w:rsidR="00E23940">
        <w:t>n FC model file (KAM Table 2-7)</w:t>
      </w:r>
      <w:r w:rsidR="00627E0D">
        <w:t>.</w:t>
      </w:r>
      <w:r w:rsidR="002C6EEC">
        <w:t xml:space="preserve">  An excerpt of the</w:t>
      </w:r>
      <w:r>
        <w:t xml:space="preserve"> file is shown in </w:t>
      </w:r>
      <w:r w:rsidR="004C78B9">
        <w:fldChar w:fldCharType="begin"/>
      </w:r>
      <w:r>
        <w:instrText xml:space="preserve"> REF _Ref108692601 \h </w:instrText>
      </w:r>
      <w:r w:rsidR="004C78B9">
        <w:fldChar w:fldCharType="separate"/>
      </w:r>
      <w:r w:rsidR="000D2EB4">
        <w:t xml:space="preserve">Table </w:t>
      </w:r>
      <w:r w:rsidR="000D2EB4">
        <w:rPr>
          <w:noProof/>
        </w:rPr>
        <w:t>12</w:t>
      </w:r>
      <w:r w:rsidR="004C78B9">
        <w:fldChar w:fldCharType="end"/>
      </w:r>
      <w:r>
        <w:t>.  This spreadsheet may be sorted so that the reader ca</w:t>
      </w:r>
      <w:r w:rsidR="004765FE">
        <w:t>n see on which channels a celestial coordinate</w:t>
      </w:r>
      <w:r>
        <w:t xml:space="preserve"> </w:t>
      </w:r>
      <w:r w:rsidR="002C6EEC">
        <w:t xml:space="preserve">was </w:t>
      </w:r>
      <w:r w:rsidR="004765FE">
        <w:t xml:space="preserve">located </w:t>
      </w:r>
      <w:r w:rsidR="002C6EEC">
        <w:t xml:space="preserve">during </w:t>
      </w:r>
      <w:r w:rsidR="00E97F00">
        <w:t xml:space="preserve">the year; </w:t>
      </w:r>
      <w:r w:rsidR="004765FE">
        <w:t>for targets themselves, MAST may be searched by channel and season.</w:t>
      </w:r>
    </w:p>
    <w:p w:rsidR="00404448" w:rsidRDefault="00404448" w:rsidP="00404448">
      <w:r>
        <w:br w:type="page"/>
      </w:r>
    </w:p>
    <w:p w:rsidR="00404448" w:rsidRDefault="00404448" w:rsidP="00404448">
      <w:pPr>
        <w:pStyle w:val="Caption"/>
        <w:keepNext/>
      </w:pPr>
      <w:bookmarkStart w:id="284" w:name="_Ref108692601"/>
      <w:bookmarkStart w:id="285" w:name="_Toc322942291"/>
      <w:r>
        <w:t xml:space="preserve">Table </w:t>
      </w:r>
      <w:fldSimple w:instr=" SEQ Table \* ARABIC ">
        <w:r w:rsidR="000D2EB4">
          <w:rPr>
            <w:noProof/>
          </w:rPr>
          <w:t>12</w:t>
        </w:r>
      </w:fldSimple>
      <w:bookmarkEnd w:id="284"/>
      <w:r>
        <w:t xml:space="preserve">:  Excerpt of MORC to RA-Dec conversion table included in Supplement.  Units are decimal degrees.  The </w:t>
      </w:r>
      <w:r w:rsidR="004C009D">
        <w:t xml:space="preserve">zero-based </w:t>
      </w:r>
      <w:r>
        <w:t>[row column] locations are the channel corners (with a 5 pixel margin) and center.  The Supplement shows all channels and Seasons.</w:t>
      </w:r>
      <w:bookmarkEnd w:id="285"/>
    </w:p>
    <w:tbl>
      <w:tblPr>
        <w:tblW w:w="6980" w:type="dxa"/>
        <w:tblInd w:w="97" w:type="dxa"/>
        <w:tblLook w:val="0000"/>
      </w:tblPr>
      <w:tblGrid>
        <w:gridCol w:w="1000"/>
        <w:gridCol w:w="1040"/>
        <w:gridCol w:w="960"/>
        <w:gridCol w:w="980"/>
        <w:gridCol w:w="1500"/>
        <w:gridCol w:w="1500"/>
      </w:tblGrid>
      <w:tr w:rsidR="00404448" w:rsidRPr="00F415B8">
        <w:trPr>
          <w:trHeight w:val="260"/>
          <w:tblHeader/>
        </w:trPr>
        <w:tc>
          <w:tcPr>
            <w:tcW w:w="1000" w:type="dxa"/>
            <w:tcBorders>
              <w:top w:val="nil"/>
              <w:left w:val="nil"/>
              <w:bottom w:val="nil"/>
              <w:right w:val="nil"/>
            </w:tcBorders>
            <w:shd w:val="clear" w:color="auto" w:fill="auto"/>
            <w:noWrap/>
            <w:vAlign w:val="bottom"/>
          </w:tcPr>
          <w:p w:rsidR="00404448" w:rsidRPr="00F415B8" w:rsidRDefault="00404448" w:rsidP="00404448">
            <w:pPr>
              <w:spacing w:after="0"/>
              <w:rPr>
                <w:rFonts w:ascii="Verdana" w:hAnsi="Verdana"/>
              </w:rPr>
            </w:pPr>
          </w:p>
        </w:tc>
        <w:tc>
          <w:tcPr>
            <w:tcW w:w="1040" w:type="dxa"/>
            <w:tcBorders>
              <w:top w:val="nil"/>
              <w:left w:val="nil"/>
              <w:bottom w:val="nil"/>
              <w:right w:val="nil"/>
            </w:tcBorders>
            <w:shd w:val="clear" w:color="auto" w:fill="auto"/>
            <w:noWrap/>
            <w:vAlign w:val="bottom"/>
          </w:tcPr>
          <w:p w:rsidR="00404448" w:rsidRPr="00F415B8" w:rsidRDefault="00404448" w:rsidP="00404448">
            <w:pPr>
              <w:spacing w:after="0"/>
              <w:rPr>
                <w:rFonts w:ascii="Verdana" w:hAnsi="Verdana"/>
              </w:rPr>
            </w:pPr>
          </w:p>
        </w:tc>
        <w:tc>
          <w:tcPr>
            <w:tcW w:w="960" w:type="dxa"/>
            <w:tcBorders>
              <w:top w:val="nil"/>
              <w:left w:val="nil"/>
              <w:bottom w:val="nil"/>
              <w:right w:val="nil"/>
            </w:tcBorders>
            <w:shd w:val="clear" w:color="auto" w:fill="auto"/>
            <w:noWrap/>
            <w:vAlign w:val="bottom"/>
          </w:tcPr>
          <w:p w:rsidR="00404448" w:rsidRPr="00F415B8" w:rsidRDefault="00404448" w:rsidP="00404448">
            <w:pPr>
              <w:spacing w:after="0"/>
              <w:rPr>
                <w:rFonts w:ascii="Verdana" w:hAnsi="Verdana"/>
              </w:rPr>
            </w:pPr>
          </w:p>
        </w:tc>
        <w:tc>
          <w:tcPr>
            <w:tcW w:w="980" w:type="dxa"/>
            <w:tcBorders>
              <w:top w:val="nil"/>
              <w:left w:val="nil"/>
              <w:bottom w:val="nil"/>
              <w:right w:val="nil"/>
            </w:tcBorders>
            <w:shd w:val="clear" w:color="auto" w:fill="auto"/>
            <w:noWrap/>
            <w:vAlign w:val="bottom"/>
          </w:tcPr>
          <w:p w:rsidR="00404448" w:rsidRPr="00F415B8" w:rsidRDefault="00404448" w:rsidP="00404448">
            <w:pPr>
              <w:spacing w:after="0"/>
              <w:rPr>
                <w:rFonts w:ascii="Verdana" w:hAnsi="Verdana"/>
              </w:rPr>
            </w:pPr>
          </w:p>
        </w:tc>
        <w:tc>
          <w:tcPr>
            <w:tcW w:w="1500" w:type="dxa"/>
            <w:tcBorders>
              <w:top w:val="nil"/>
              <w:left w:val="nil"/>
              <w:bottom w:val="nil"/>
              <w:right w:val="nil"/>
            </w:tcBorders>
            <w:shd w:val="clear" w:color="auto" w:fill="auto"/>
            <w:noWrap/>
            <w:vAlign w:val="bottom"/>
          </w:tcPr>
          <w:p w:rsidR="00404448" w:rsidRPr="00F415B8" w:rsidRDefault="00404448" w:rsidP="00404448">
            <w:pPr>
              <w:spacing w:after="0"/>
              <w:rPr>
                <w:rFonts w:ascii="Verdana" w:hAnsi="Verdana"/>
              </w:rPr>
            </w:pPr>
            <w:r w:rsidRPr="00F415B8">
              <w:rPr>
                <w:rFonts w:ascii="Verdana" w:hAnsi="Verdana"/>
              </w:rPr>
              <w:t>Spring</w:t>
            </w:r>
          </w:p>
        </w:tc>
        <w:tc>
          <w:tcPr>
            <w:tcW w:w="1500" w:type="dxa"/>
            <w:tcBorders>
              <w:top w:val="nil"/>
              <w:left w:val="nil"/>
              <w:bottom w:val="nil"/>
              <w:right w:val="nil"/>
            </w:tcBorders>
            <w:shd w:val="clear" w:color="auto" w:fill="auto"/>
            <w:noWrap/>
            <w:vAlign w:val="bottom"/>
          </w:tcPr>
          <w:p w:rsidR="00404448" w:rsidRPr="00F415B8" w:rsidRDefault="00404448" w:rsidP="00404448">
            <w:pPr>
              <w:spacing w:after="0"/>
              <w:rPr>
                <w:rFonts w:ascii="Verdana" w:hAnsi="Verdana"/>
              </w:rPr>
            </w:pPr>
          </w:p>
        </w:tc>
      </w:tr>
      <w:tr w:rsidR="00404448" w:rsidRPr="00F415B8">
        <w:trPr>
          <w:trHeight w:val="260"/>
          <w:tblHeader/>
        </w:trPr>
        <w:tc>
          <w:tcPr>
            <w:tcW w:w="1000" w:type="dxa"/>
            <w:tcBorders>
              <w:top w:val="nil"/>
              <w:left w:val="nil"/>
              <w:bottom w:val="nil"/>
              <w:right w:val="nil"/>
            </w:tcBorders>
            <w:shd w:val="clear" w:color="auto" w:fill="auto"/>
            <w:noWrap/>
            <w:vAlign w:val="bottom"/>
          </w:tcPr>
          <w:p w:rsidR="00404448" w:rsidRPr="00F415B8" w:rsidRDefault="00404448" w:rsidP="00404448">
            <w:pPr>
              <w:spacing w:after="0"/>
              <w:rPr>
                <w:rFonts w:ascii="Verdana" w:hAnsi="Verdana"/>
              </w:rPr>
            </w:pPr>
            <w:r w:rsidRPr="00F415B8">
              <w:rPr>
                <w:rFonts w:ascii="Verdana" w:hAnsi="Verdana"/>
              </w:rPr>
              <w:t>module</w:t>
            </w:r>
          </w:p>
        </w:tc>
        <w:tc>
          <w:tcPr>
            <w:tcW w:w="1040" w:type="dxa"/>
            <w:tcBorders>
              <w:top w:val="nil"/>
              <w:left w:val="nil"/>
              <w:bottom w:val="nil"/>
              <w:right w:val="nil"/>
            </w:tcBorders>
            <w:shd w:val="clear" w:color="auto" w:fill="auto"/>
            <w:noWrap/>
            <w:vAlign w:val="bottom"/>
          </w:tcPr>
          <w:p w:rsidR="00404448" w:rsidRPr="00F415B8" w:rsidRDefault="00404448" w:rsidP="00404448">
            <w:pPr>
              <w:spacing w:after="0"/>
              <w:rPr>
                <w:rFonts w:ascii="Verdana" w:hAnsi="Verdana"/>
              </w:rPr>
            </w:pPr>
            <w:r w:rsidRPr="00F415B8">
              <w:rPr>
                <w:rFonts w:ascii="Verdana" w:hAnsi="Verdana"/>
              </w:rPr>
              <w:t>output</w:t>
            </w:r>
          </w:p>
        </w:tc>
        <w:tc>
          <w:tcPr>
            <w:tcW w:w="960" w:type="dxa"/>
            <w:tcBorders>
              <w:top w:val="nil"/>
              <w:left w:val="nil"/>
              <w:bottom w:val="nil"/>
              <w:right w:val="nil"/>
            </w:tcBorders>
            <w:shd w:val="clear" w:color="auto" w:fill="auto"/>
            <w:noWrap/>
            <w:vAlign w:val="bottom"/>
          </w:tcPr>
          <w:p w:rsidR="00404448" w:rsidRPr="00F415B8" w:rsidRDefault="00404448" w:rsidP="00404448">
            <w:pPr>
              <w:spacing w:after="0"/>
              <w:rPr>
                <w:rFonts w:ascii="Verdana" w:hAnsi="Verdana"/>
              </w:rPr>
            </w:pPr>
            <w:r w:rsidRPr="00F415B8">
              <w:rPr>
                <w:rFonts w:ascii="Verdana" w:hAnsi="Verdana"/>
              </w:rPr>
              <w:t>row</w:t>
            </w:r>
          </w:p>
        </w:tc>
        <w:tc>
          <w:tcPr>
            <w:tcW w:w="980" w:type="dxa"/>
            <w:tcBorders>
              <w:top w:val="nil"/>
              <w:left w:val="nil"/>
              <w:bottom w:val="nil"/>
              <w:right w:val="nil"/>
            </w:tcBorders>
            <w:shd w:val="clear" w:color="auto" w:fill="auto"/>
            <w:noWrap/>
            <w:vAlign w:val="bottom"/>
          </w:tcPr>
          <w:p w:rsidR="00404448" w:rsidRPr="00F415B8" w:rsidRDefault="00404448" w:rsidP="00404448">
            <w:pPr>
              <w:spacing w:after="0"/>
              <w:rPr>
                <w:rFonts w:ascii="Verdana" w:hAnsi="Verdana"/>
              </w:rPr>
            </w:pPr>
            <w:r w:rsidRPr="00F415B8">
              <w:rPr>
                <w:rFonts w:ascii="Verdana" w:hAnsi="Verdana"/>
              </w:rPr>
              <w:t>column</w:t>
            </w:r>
          </w:p>
        </w:tc>
        <w:tc>
          <w:tcPr>
            <w:tcW w:w="1500" w:type="dxa"/>
            <w:tcBorders>
              <w:top w:val="nil"/>
              <w:left w:val="nil"/>
              <w:bottom w:val="nil"/>
              <w:right w:val="nil"/>
            </w:tcBorders>
            <w:shd w:val="clear" w:color="auto" w:fill="auto"/>
            <w:noWrap/>
            <w:vAlign w:val="bottom"/>
          </w:tcPr>
          <w:p w:rsidR="00404448" w:rsidRPr="00F415B8" w:rsidRDefault="00404448" w:rsidP="00404448">
            <w:pPr>
              <w:spacing w:after="0"/>
              <w:rPr>
                <w:rFonts w:ascii="Verdana" w:hAnsi="Verdana"/>
              </w:rPr>
            </w:pPr>
            <w:r w:rsidRPr="00F415B8">
              <w:rPr>
                <w:rFonts w:ascii="Verdana" w:hAnsi="Verdana"/>
              </w:rPr>
              <w:t>ra</w:t>
            </w:r>
          </w:p>
        </w:tc>
        <w:tc>
          <w:tcPr>
            <w:tcW w:w="1500" w:type="dxa"/>
            <w:tcBorders>
              <w:top w:val="nil"/>
              <w:left w:val="nil"/>
              <w:bottom w:val="nil"/>
              <w:right w:val="nil"/>
            </w:tcBorders>
            <w:shd w:val="clear" w:color="auto" w:fill="auto"/>
            <w:noWrap/>
            <w:vAlign w:val="bottom"/>
          </w:tcPr>
          <w:p w:rsidR="00404448" w:rsidRPr="00F415B8" w:rsidRDefault="00404448" w:rsidP="00404448">
            <w:pPr>
              <w:spacing w:after="0"/>
              <w:rPr>
                <w:rFonts w:ascii="Verdana" w:hAnsi="Verdana"/>
              </w:rPr>
            </w:pPr>
            <w:r w:rsidRPr="00F415B8">
              <w:rPr>
                <w:rFonts w:ascii="Verdana" w:hAnsi="Verdana"/>
              </w:rPr>
              <w:t>dec</w:t>
            </w:r>
          </w:p>
        </w:tc>
      </w:tr>
      <w:tr w:rsidR="00404448" w:rsidRPr="00F415B8">
        <w:trPr>
          <w:trHeight w:val="260"/>
        </w:trPr>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2</w:t>
            </w:r>
          </w:p>
        </w:tc>
        <w:tc>
          <w:tcPr>
            <w:tcW w:w="10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1</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25</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17</w:t>
            </w:r>
          </w:p>
        </w:tc>
        <w:tc>
          <w:tcPr>
            <w:tcW w:w="15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282.1189</w:t>
            </w:r>
          </w:p>
        </w:tc>
        <w:tc>
          <w:tcPr>
            <w:tcW w:w="15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45.1198</w:t>
            </w:r>
          </w:p>
        </w:tc>
      </w:tr>
      <w:tr w:rsidR="00404448" w:rsidRPr="00F415B8">
        <w:trPr>
          <w:trHeight w:val="260"/>
        </w:trPr>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2</w:t>
            </w:r>
          </w:p>
        </w:tc>
        <w:tc>
          <w:tcPr>
            <w:tcW w:w="10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1</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25</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1106</w:t>
            </w:r>
          </w:p>
        </w:tc>
        <w:tc>
          <w:tcPr>
            <w:tcW w:w="15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283.1730</w:t>
            </w:r>
          </w:p>
        </w:tc>
        <w:tc>
          <w:tcPr>
            <w:tcW w:w="15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44.1797</w:t>
            </w:r>
          </w:p>
        </w:tc>
      </w:tr>
      <w:tr w:rsidR="00404448" w:rsidRPr="00F415B8">
        <w:trPr>
          <w:trHeight w:val="260"/>
        </w:trPr>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2</w:t>
            </w:r>
          </w:p>
        </w:tc>
        <w:tc>
          <w:tcPr>
            <w:tcW w:w="10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1</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535</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550</w:t>
            </w:r>
          </w:p>
        </w:tc>
        <w:tc>
          <w:tcPr>
            <w:tcW w:w="15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282.0234</w:t>
            </w:r>
          </w:p>
        </w:tc>
        <w:tc>
          <w:tcPr>
            <w:tcW w:w="15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44.3086</w:t>
            </w:r>
          </w:p>
        </w:tc>
      </w:tr>
      <w:tr w:rsidR="00404448" w:rsidRPr="00F415B8">
        <w:trPr>
          <w:trHeight w:val="260"/>
        </w:trPr>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2</w:t>
            </w:r>
          </w:p>
        </w:tc>
        <w:tc>
          <w:tcPr>
            <w:tcW w:w="10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1</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1038</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17</w:t>
            </w:r>
          </w:p>
        </w:tc>
        <w:tc>
          <w:tcPr>
            <w:tcW w:w="15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280.9000</w:t>
            </w:r>
          </w:p>
        </w:tc>
        <w:tc>
          <w:tcPr>
            <w:tcW w:w="15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44.4110</w:t>
            </w:r>
          </w:p>
        </w:tc>
      </w:tr>
      <w:tr w:rsidR="00404448" w:rsidRPr="00F415B8">
        <w:trPr>
          <w:trHeight w:val="260"/>
        </w:trPr>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2</w:t>
            </w:r>
          </w:p>
        </w:tc>
        <w:tc>
          <w:tcPr>
            <w:tcW w:w="10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1</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1038</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1106</w:t>
            </w:r>
          </w:p>
        </w:tc>
        <w:tc>
          <w:tcPr>
            <w:tcW w:w="15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281.9606</w:t>
            </w:r>
          </w:p>
        </w:tc>
        <w:tc>
          <w:tcPr>
            <w:tcW w:w="15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43.4812</w:t>
            </w:r>
          </w:p>
        </w:tc>
      </w:tr>
      <w:tr w:rsidR="00404448" w:rsidRPr="00F415B8">
        <w:trPr>
          <w:trHeight w:val="260"/>
        </w:trPr>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2</w:t>
            </w:r>
          </w:p>
        </w:tc>
        <w:tc>
          <w:tcPr>
            <w:tcW w:w="10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2</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25</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17</w:t>
            </w:r>
          </w:p>
        </w:tc>
        <w:tc>
          <w:tcPr>
            <w:tcW w:w="15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284.2032</w:t>
            </w:r>
          </w:p>
        </w:tc>
        <w:tc>
          <w:tcPr>
            <w:tcW w:w="15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43.2200</w:t>
            </w:r>
          </w:p>
        </w:tc>
      </w:tr>
      <w:tr w:rsidR="00404448" w:rsidRPr="00F415B8">
        <w:trPr>
          <w:trHeight w:val="260"/>
        </w:trPr>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2</w:t>
            </w:r>
          </w:p>
        </w:tc>
        <w:tc>
          <w:tcPr>
            <w:tcW w:w="10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2</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25</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1106</w:t>
            </w:r>
          </w:p>
        </w:tc>
        <w:tc>
          <w:tcPr>
            <w:tcW w:w="15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283.1835</w:t>
            </w:r>
          </w:p>
        </w:tc>
        <w:tc>
          <w:tcPr>
            <w:tcW w:w="15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44.1701</w:t>
            </w:r>
          </w:p>
        </w:tc>
      </w:tr>
      <w:tr w:rsidR="00404448" w:rsidRPr="00F415B8">
        <w:trPr>
          <w:trHeight w:val="260"/>
        </w:trPr>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2</w:t>
            </w:r>
          </w:p>
        </w:tc>
        <w:tc>
          <w:tcPr>
            <w:tcW w:w="10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2</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535</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550</w:t>
            </w:r>
          </w:p>
        </w:tc>
        <w:tc>
          <w:tcPr>
            <w:tcW w:w="15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283.0969</w:t>
            </w:r>
          </w:p>
        </w:tc>
        <w:tc>
          <w:tcPr>
            <w:tcW w:w="15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43.3389</w:t>
            </w:r>
          </w:p>
        </w:tc>
      </w:tr>
      <w:tr w:rsidR="00404448" w:rsidRPr="00F415B8">
        <w:trPr>
          <w:trHeight w:val="260"/>
        </w:trPr>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2</w:t>
            </w:r>
          </w:p>
        </w:tc>
        <w:tc>
          <w:tcPr>
            <w:tcW w:w="10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2</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1038</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17</w:t>
            </w:r>
          </w:p>
        </w:tc>
        <w:tc>
          <w:tcPr>
            <w:tcW w:w="15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282.9992</w:t>
            </w:r>
          </w:p>
        </w:tc>
        <w:tc>
          <w:tcPr>
            <w:tcW w:w="15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42.5324</w:t>
            </w:r>
          </w:p>
        </w:tc>
      </w:tr>
      <w:tr w:rsidR="00404448" w:rsidRPr="00F415B8">
        <w:trPr>
          <w:trHeight w:val="260"/>
        </w:trPr>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2</w:t>
            </w:r>
          </w:p>
        </w:tc>
        <w:tc>
          <w:tcPr>
            <w:tcW w:w="10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2</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1038</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1106</w:t>
            </w:r>
          </w:p>
        </w:tc>
        <w:tc>
          <w:tcPr>
            <w:tcW w:w="15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281.9712</w:t>
            </w:r>
          </w:p>
        </w:tc>
        <w:tc>
          <w:tcPr>
            <w:tcW w:w="15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43.4718</w:t>
            </w:r>
          </w:p>
        </w:tc>
      </w:tr>
      <w:tr w:rsidR="00404448" w:rsidRPr="00F415B8">
        <w:trPr>
          <w:trHeight w:val="260"/>
        </w:trPr>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2</w:t>
            </w:r>
          </w:p>
        </w:tc>
        <w:tc>
          <w:tcPr>
            <w:tcW w:w="10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3</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25</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17</w:t>
            </w:r>
          </w:p>
        </w:tc>
        <w:tc>
          <w:tcPr>
            <w:tcW w:w="15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281.7181</w:t>
            </w:r>
          </w:p>
        </w:tc>
        <w:tc>
          <w:tcPr>
            <w:tcW w:w="15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41.7707</w:t>
            </w:r>
          </w:p>
        </w:tc>
      </w:tr>
      <w:tr w:rsidR="00404448" w:rsidRPr="00F415B8">
        <w:trPr>
          <w:trHeight w:val="260"/>
        </w:trPr>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2</w:t>
            </w:r>
          </w:p>
        </w:tc>
        <w:tc>
          <w:tcPr>
            <w:tcW w:w="10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3</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25</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1106</w:t>
            </w:r>
          </w:p>
        </w:tc>
        <w:tc>
          <w:tcPr>
            <w:tcW w:w="15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280.6839</w:t>
            </w:r>
          </w:p>
        </w:tc>
        <w:tc>
          <w:tcPr>
            <w:tcW w:w="15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42.6982</w:t>
            </w:r>
          </w:p>
        </w:tc>
      </w:tr>
      <w:tr w:rsidR="00404448" w:rsidRPr="00F415B8">
        <w:trPr>
          <w:trHeight w:val="260"/>
        </w:trPr>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2</w:t>
            </w:r>
          </w:p>
        </w:tc>
        <w:tc>
          <w:tcPr>
            <w:tcW w:w="10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3</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535</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550</w:t>
            </w:r>
          </w:p>
        </w:tc>
        <w:tc>
          <w:tcPr>
            <w:tcW w:w="15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281.8061</w:t>
            </w:r>
          </w:p>
        </w:tc>
        <w:tc>
          <w:tcPr>
            <w:tcW w:w="15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42.5824</w:t>
            </w:r>
          </w:p>
        </w:tc>
      </w:tr>
      <w:tr w:rsidR="00404448" w:rsidRPr="00F415B8">
        <w:trPr>
          <w:trHeight w:val="260"/>
        </w:trPr>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2</w:t>
            </w:r>
          </w:p>
        </w:tc>
        <w:tc>
          <w:tcPr>
            <w:tcW w:w="10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3</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1038</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17</w:t>
            </w:r>
          </w:p>
        </w:tc>
        <w:tc>
          <w:tcPr>
            <w:tcW w:w="15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282.8943</w:t>
            </w:r>
          </w:p>
        </w:tc>
        <w:tc>
          <w:tcPr>
            <w:tcW w:w="15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42.4710</w:t>
            </w:r>
          </w:p>
        </w:tc>
      </w:tr>
      <w:tr w:rsidR="00404448" w:rsidRPr="00F415B8">
        <w:trPr>
          <w:trHeight w:val="260"/>
        </w:trPr>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2</w:t>
            </w:r>
          </w:p>
        </w:tc>
        <w:tc>
          <w:tcPr>
            <w:tcW w:w="10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3</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1038</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1106</w:t>
            </w:r>
          </w:p>
        </w:tc>
        <w:tc>
          <w:tcPr>
            <w:tcW w:w="15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281.8662</w:t>
            </w:r>
          </w:p>
        </w:tc>
        <w:tc>
          <w:tcPr>
            <w:tcW w:w="15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43.4098</w:t>
            </w:r>
          </w:p>
        </w:tc>
      </w:tr>
      <w:tr w:rsidR="00404448" w:rsidRPr="00F415B8">
        <w:trPr>
          <w:trHeight w:val="260"/>
        </w:trPr>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2</w:t>
            </w:r>
          </w:p>
        </w:tc>
        <w:tc>
          <w:tcPr>
            <w:tcW w:w="10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4</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25</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17</w:t>
            </w:r>
          </w:p>
        </w:tc>
        <w:tc>
          <w:tcPr>
            <w:tcW w:w="15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279.6081</w:t>
            </w:r>
          </w:p>
        </w:tc>
        <w:tc>
          <w:tcPr>
            <w:tcW w:w="15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43.6256</w:t>
            </w:r>
          </w:p>
        </w:tc>
      </w:tr>
      <w:tr w:rsidR="00404448" w:rsidRPr="00F415B8">
        <w:trPr>
          <w:trHeight w:val="260"/>
        </w:trPr>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2</w:t>
            </w:r>
          </w:p>
        </w:tc>
        <w:tc>
          <w:tcPr>
            <w:tcW w:w="10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4</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25</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1106</w:t>
            </w:r>
          </w:p>
        </w:tc>
        <w:tc>
          <w:tcPr>
            <w:tcW w:w="15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280.6733</w:t>
            </w:r>
          </w:p>
        </w:tc>
        <w:tc>
          <w:tcPr>
            <w:tcW w:w="15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42.7075</w:t>
            </w:r>
          </w:p>
        </w:tc>
      </w:tr>
      <w:tr w:rsidR="00404448" w:rsidRPr="00F415B8">
        <w:trPr>
          <w:trHeight w:val="260"/>
        </w:trPr>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2</w:t>
            </w:r>
          </w:p>
        </w:tc>
        <w:tc>
          <w:tcPr>
            <w:tcW w:w="10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4</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535</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550</w:t>
            </w:r>
          </w:p>
        </w:tc>
        <w:tc>
          <w:tcPr>
            <w:tcW w:w="15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280.7260</w:t>
            </w:r>
          </w:p>
        </w:tc>
        <w:tc>
          <w:tcPr>
            <w:tcW w:w="15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43.5402</w:t>
            </w:r>
          </w:p>
        </w:tc>
      </w:tr>
      <w:tr w:rsidR="00404448" w:rsidRPr="00F415B8">
        <w:trPr>
          <w:trHeight w:val="260"/>
        </w:trPr>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2</w:t>
            </w:r>
          </w:p>
        </w:tc>
        <w:tc>
          <w:tcPr>
            <w:tcW w:w="10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4</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1038</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17</w:t>
            </w:r>
          </w:p>
        </w:tc>
        <w:tc>
          <w:tcPr>
            <w:tcW w:w="15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280.7950</w:t>
            </w:r>
          </w:p>
        </w:tc>
        <w:tc>
          <w:tcPr>
            <w:tcW w:w="15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44.3484</w:t>
            </w:r>
          </w:p>
        </w:tc>
      </w:tr>
      <w:tr w:rsidR="00404448" w:rsidRPr="00F415B8">
        <w:trPr>
          <w:trHeight w:val="260"/>
        </w:trPr>
        <w:tc>
          <w:tcPr>
            <w:tcW w:w="10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2</w:t>
            </w:r>
          </w:p>
        </w:tc>
        <w:tc>
          <w:tcPr>
            <w:tcW w:w="10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4</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1038</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1106</w:t>
            </w:r>
          </w:p>
        </w:tc>
        <w:tc>
          <w:tcPr>
            <w:tcW w:w="15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281.8556</w:t>
            </w:r>
          </w:p>
        </w:tc>
        <w:tc>
          <w:tcPr>
            <w:tcW w:w="15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Verdana" w:hAnsi="Verdana"/>
              </w:rPr>
            </w:pPr>
            <w:r w:rsidRPr="00F415B8">
              <w:rPr>
                <w:rFonts w:ascii="Verdana" w:hAnsi="Verdana"/>
              </w:rPr>
              <w:t>43.4192</w:t>
            </w:r>
          </w:p>
        </w:tc>
      </w:tr>
    </w:tbl>
    <w:p w:rsidR="00404448" w:rsidRPr="00D80D62" w:rsidRDefault="00404448" w:rsidP="00404448"/>
    <w:p w:rsidR="00404448" w:rsidRPr="00394F88" w:rsidRDefault="00404448" w:rsidP="00404448">
      <w:pPr>
        <w:pStyle w:val="Heading2"/>
        <w:rPr>
          <w:sz w:val="22"/>
        </w:rPr>
      </w:pPr>
      <w:bookmarkStart w:id="286" w:name="_Ref202070784"/>
      <w:bookmarkStart w:id="287" w:name="_Toc322942228"/>
      <w:r w:rsidRPr="00394F88">
        <w:rPr>
          <w:sz w:val="22"/>
        </w:rPr>
        <w:t>Channel Properties Summary</w:t>
      </w:r>
      <w:bookmarkEnd w:id="287"/>
      <w:r w:rsidRPr="00394F88">
        <w:rPr>
          <w:sz w:val="22"/>
        </w:rPr>
        <w:t xml:space="preserve"> </w:t>
      </w:r>
      <w:bookmarkEnd w:id="286"/>
    </w:p>
    <w:p w:rsidR="00404448" w:rsidRPr="00BB4C5F" w:rsidRDefault="00404448" w:rsidP="00404448">
      <w:r>
        <w:t xml:space="preserve">In this Section, the detector </w:t>
      </w:r>
      <w:r w:rsidR="000672A6">
        <w:t>(</w:t>
      </w:r>
      <w:r w:rsidR="004C78B9">
        <w:fldChar w:fldCharType="begin"/>
      </w:r>
      <w:r w:rsidR="000672A6">
        <w:instrText xml:space="preserve"> REF _Ref108511873 \h </w:instrText>
      </w:r>
      <w:r w:rsidR="004C78B9">
        <w:fldChar w:fldCharType="separate"/>
      </w:r>
      <w:r w:rsidR="000D2EB4">
        <w:t xml:space="preserve">Table </w:t>
      </w:r>
      <w:r w:rsidR="000D2EB4">
        <w:rPr>
          <w:noProof/>
        </w:rPr>
        <w:t>13</w:t>
      </w:r>
      <w:r w:rsidR="004C78B9">
        <w:fldChar w:fldCharType="end"/>
      </w:r>
      <w:r w:rsidR="000672A6">
        <w:t xml:space="preserve">) </w:t>
      </w:r>
      <w:r>
        <w:t xml:space="preserve">and optical </w:t>
      </w:r>
      <w:r w:rsidR="000672A6">
        <w:t>(</w:t>
      </w:r>
      <w:r w:rsidR="004C78B9">
        <w:fldChar w:fldCharType="begin"/>
      </w:r>
      <w:r w:rsidR="000672A6">
        <w:instrText xml:space="preserve"> REF _Ref108518877 \h </w:instrText>
      </w:r>
      <w:r w:rsidR="004C78B9">
        <w:fldChar w:fldCharType="separate"/>
      </w:r>
      <w:r w:rsidR="000D2EB4">
        <w:t xml:space="preserve">Table </w:t>
      </w:r>
      <w:r w:rsidR="000D2EB4">
        <w:rPr>
          <w:noProof/>
        </w:rPr>
        <w:t>14</w:t>
      </w:r>
      <w:r w:rsidR="004C78B9">
        <w:fldChar w:fldCharType="end"/>
      </w:r>
      <w:r w:rsidR="000672A6">
        <w:t xml:space="preserve">) </w:t>
      </w:r>
      <w:r>
        <w:t xml:space="preserve">properties of each channel are summarized, so that </w:t>
      </w:r>
      <w:r w:rsidR="00CD47B3">
        <w:t xml:space="preserve">data users </w:t>
      </w:r>
      <w:r>
        <w:t>may</w:t>
      </w:r>
      <w:r w:rsidR="00CD47B3">
        <w:t xml:space="preserve"> be aware that that the signal and noise properties of a time series will change as a target moves to a different channel with a change of season and quarterly roll</w:t>
      </w:r>
      <w:r>
        <w:t xml:space="preserve">. </w:t>
      </w:r>
    </w:p>
    <w:p w:rsidR="00404448" w:rsidRDefault="00404448" w:rsidP="00404448">
      <w:pPr>
        <w:pStyle w:val="Caption"/>
        <w:keepNext/>
      </w:pPr>
      <w:bookmarkStart w:id="288" w:name="_Ref108511873"/>
      <w:bookmarkStart w:id="289" w:name="_Toc322942292"/>
      <w:r>
        <w:t xml:space="preserve">Table </w:t>
      </w:r>
      <w:fldSimple w:instr=" SEQ Table \* ARABIC ">
        <w:r w:rsidR="000D2EB4">
          <w:rPr>
            <w:noProof/>
          </w:rPr>
          <w:t>13</w:t>
        </w:r>
      </w:fldSimple>
      <w:bookmarkEnd w:id="288"/>
      <w:r>
        <w:t xml:space="preserve">:  Detector Properties.  The ECA is the board pair driving the channel, and acquiring data from it.  The combination of ECA, ECA input #, and Module output # specifies which amplifier chain is used for each channel. </w:t>
      </w:r>
      <w:r w:rsidRPr="00A7623E">
        <w:t>Yellow indicates out-of-spe</w:t>
      </w:r>
      <w:r>
        <w:t>c value or peculiar measurements.  Red indicates high Moiré amplitude which may compromise time series interpretation.</w:t>
      </w:r>
      <w:bookmarkEnd w:id="289"/>
      <w:r>
        <w:t xml:space="preserve">  </w:t>
      </w:r>
    </w:p>
    <w:tbl>
      <w:tblPr>
        <w:tblW w:w="10237" w:type="dxa"/>
        <w:tblInd w:w="108" w:type="dxa"/>
        <w:tblLook w:val="0000"/>
      </w:tblPr>
      <w:tblGrid>
        <w:gridCol w:w="990"/>
        <w:gridCol w:w="632"/>
        <w:gridCol w:w="718"/>
        <w:gridCol w:w="877"/>
        <w:gridCol w:w="877"/>
        <w:gridCol w:w="877"/>
        <w:gridCol w:w="1149"/>
        <w:gridCol w:w="990"/>
        <w:gridCol w:w="990"/>
        <w:gridCol w:w="1260"/>
        <w:gridCol w:w="877"/>
      </w:tblGrid>
      <w:tr w:rsidR="00404448" w:rsidRPr="00F415B8">
        <w:trPr>
          <w:trHeight w:val="240"/>
          <w:tblHeader/>
        </w:trPr>
        <w:tc>
          <w:tcPr>
            <w:tcW w:w="990" w:type="dxa"/>
            <w:tcBorders>
              <w:top w:val="nil"/>
              <w:left w:val="nil"/>
              <w:bottom w:val="nil"/>
              <w:right w:val="nil"/>
            </w:tcBorders>
            <w:shd w:val="clear" w:color="auto" w:fill="auto"/>
            <w:noWrap/>
            <w:vAlign w:val="bottom"/>
          </w:tcPr>
          <w:p w:rsidR="00404448" w:rsidRPr="00F415B8" w:rsidRDefault="00404448" w:rsidP="00404448">
            <w:pPr>
              <w:spacing w:after="0"/>
            </w:pPr>
            <w:bookmarkStart w:id="290" w:name="RANGE!C11:K98"/>
            <w:bookmarkStart w:id="291" w:name="RANGE!C11:M98"/>
            <w:bookmarkEnd w:id="290"/>
            <w:bookmarkEnd w:id="291"/>
          </w:p>
        </w:tc>
        <w:tc>
          <w:tcPr>
            <w:tcW w:w="632" w:type="dxa"/>
            <w:tcBorders>
              <w:top w:val="nil"/>
              <w:left w:val="nil"/>
              <w:bottom w:val="nil"/>
              <w:right w:val="nil"/>
            </w:tcBorders>
            <w:shd w:val="clear" w:color="auto" w:fill="auto"/>
            <w:noWrap/>
            <w:vAlign w:val="bottom"/>
          </w:tcPr>
          <w:p w:rsidR="00404448" w:rsidRPr="00F415B8" w:rsidRDefault="00404448" w:rsidP="00404448">
            <w:pPr>
              <w:spacing w:after="0"/>
            </w:pPr>
          </w:p>
        </w:tc>
        <w:tc>
          <w:tcPr>
            <w:tcW w:w="718" w:type="dxa"/>
            <w:tcBorders>
              <w:top w:val="nil"/>
              <w:left w:val="nil"/>
              <w:bottom w:val="nil"/>
              <w:right w:val="nil"/>
            </w:tcBorders>
            <w:shd w:val="clear" w:color="auto" w:fill="auto"/>
            <w:noWrap/>
            <w:vAlign w:val="bottom"/>
          </w:tcPr>
          <w:p w:rsidR="00404448" w:rsidRPr="00F415B8" w:rsidRDefault="00404448" w:rsidP="00404448">
            <w:pPr>
              <w:spacing w:after="0"/>
            </w:pPr>
          </w:p>
        </w:tc>
        <w:tc>
          <w:tcPr>
            <w:tcW w:w="877" w:type="dxa"/>
            <w:tcBorders>
              <w:top w:val="nil"/>
              <w:left w:val="nil"/>
              <w:bottom w:val="nil"/>
              <w:right w:val="nil"/>
            </w:tcBorders>
            <w:shd w:val="clear" w:color="auto" w:fill="auto"/>
            <w:noWrap/>
            <w:vAlign w:val="bottom"/>
          </w:tcPr>
          <w:p w:rsidR="00404448" w:rsidRPr="00F415B8" w:rsidRDefault="00404448" w:rsidP="00404448">
            <w:pPr>
              <w:spacing w:after="0"/>
            </w:pPr>
          </w:p>
        </w:tc>
        <w:tc>
          <w:tcPr>
            <w:tcW w:w="877" w:type="dxa"/>
            <w:tcBorders>
              <w:top w:val="nil"/>
              <w:left w:val="nil"/>
              <w:bottom w:val="nil"/>
              <w:right w:val="nil"/>
            </w:tcBorders>
            <w:shd w:val="clear" w:color="auto" w:fill="auto"/>
            <w:noWrap/>
            <w:vAlign w:val="bottom"/>
          </w:tcPr>
          <w:p w:rsidR="00404448" w:rsidRPr="00F415B8" w:rsidRDefault="00404448" w:rsidP="00404448">
            <w:pPr>
              <w:spacing w:after="0"/>
            </w:pPr>
          </w:p>
        </w:tc>
        <w:tc>
          <w:tcPr>
            <w:tcW w:w="877" w:type="dxa"/>
            <w:tcBorders>
              <w:top w:val="nil"/>
              <w:left w:val="nil"/>
              <w:bottom w:val="nil"/>
              <w:right w:val="nil"/>
            </w:tcBorders>
            <w:shd w:val="clear" w:color="auto" w:fill="auto"/>
            <w:noWrap/>
            <w:vAlign w:val="bottom"/>
          </w:tcPr>
          <w:p w:rsidR="00404448" w:rsidRPr="00F415B8" w:rsidRDefault="00404448" w:rsidP="00404448">
            <w:pPr>
              <w:spacing w:after="0"/>
              <w:jc w:val="right"/>
            </w:pPr>
            <w:r w:rsidRPr="00F415B8">
              <w:t>Read</w:t>
            </w:r>
          </w:p>
        </w:tc>
        <w:tc>
          <w:tcPr>
            <w:tcW w:w="1149" w:type="dxa"/>
            <w:tcBorders>
              <w:top w:val="nil"/>
              <w:left w:val="nil"/>
              <w:bottom w:val="nil"/>
              <w:right w:val="nil"/>
            </w:tcBorders>
            <w:shd w:val="clear" w:color="auto" w:fill="auto"/>
            <w:noWrap/>
            <w:vAlign w:val="bottom"/>
          </w:tcPr>
          <w:p w:rsidR="00404448" w:rsidRPr="00F415B8" w:rsidRDefault="00404448" w:rsidP="00404448">
            <w:pPr>
              <w:spacing w:after="0"/>
              <w:jc w:val="right"/>
            </w:pPr>
            <w:r w:rsidRPr="00F415B8">
              <w:t>Read</w:t>
            </w:r>
          </w:p>
        </w:tc>
        <w:tc>
          <w:tcPr>
            <w:tcW w:w="990" w:type="dxa"/>
            <w:tcBorders>
              <w:top w:val="nil"/>
              <w:left w:val="nil"/>
              <w:bottom w:val="nil"/>
              <w:right w:val="nil"/>
            </w:tcBorders>
            <w:shd w:val="clear" w:color="auto" w:fill="auto"/>
            <w:noWrap/>
            <w:vAlign w:val="bottom"/>
          </w:tcPr>
          <w:p w:rsidR="00404448" w:rsidRPr="00F415B8" w:rsidRDefault="00404448" w:rsidP="00404448">
            <w:pPr>
              <w:spacing w:after="0"/>
            </w:pPr>
          </w:p>
        </w:tc>
        <w:tc>
          <w:tcPr>
            <w:tcW w:w="990" w:type="dxa"/>
            <w:tcBorders>
              <w:top w:val="nil"/>
              <w:left w:val="nil"/>
              <w:bottom w:val="nil"/>
              <w:right w:val="nil"/>
            </w:tcBorders>
            <w:shd w:val="clear" w:color="auto" w:fill="auto"/>
            <w:noWrap/>
            <w:vAlign w:val="bottom"/>
          </w:tcPr>
          <w:p w:rsidR="00404448" w:rsidRPr="00F415B8" w:rsidRDefault="00404448" w:rsidP="00404448">
            <w:pPr>
              <w:spacing w:after="0"/>
            </w:pPr>
          </w:p>
        </w:tc>
        <w:tc>
          <w:tcPr>
            <w:tcW w:w="1260" w:type="dxa"/>
            <w:tcBorders>
              <w:top w:val="nil"/>
              <w:left w:val="nil"/>
              <w:bottom w:val="nil"/>
              <w:right w:val="nil"/>
            </w:tcBorders>
            <w:shd w:val="clear" w:color="auto" w:fill="auto"/>
            <w:noWrap/>
            <w:vAlign w:val="bottom"/>
          </w:tcPr>
          <w:p w:rsidR="00404448" w:rsidRPr="00F415B8" w:rsidRDefault="00404448" w:rsidP="00404448">
            <w:pPr>
              <w:spacing w:after="0"/>
            </w:pPr>
          </w:p>
        </w:tc>
        <w:tc>
          <w:tcPr>
            <w:tcW w:w="877" w:type="dxa"/>
            <w:tcBorders>
              <w:top w:val="nil"/>
              <w:left w:val="nil"/>
              <w:bottom w:val="nil"/>
              <w:right w:val="nil"/>
            </w:tcBorders>
            <w:shd w:val="clear" w:color="auto" w:fill="auto"/>
            <w:noWrap/>
            <w:vAlign w:val="bottom"/>
          </w:tcPr>
          <w:p w:rsidR="00404448" w:rsidRPr="00F415B8" w:rsidRDefault="00404448" w:rsidP="00404448">
            <w:pPr>
              <w:spacing w:after="0"/>
            </w:pPr>
          </w:p>
        </w:tc>
      </w:tr>
      <w:tr w:rsidR="00404448" w:rsidRPr="00F415B8">
        <w:trPr>
          <w:trHeight w:val="260"/>
          <w:tblHeader/>
        </w:trPr>
        <w:tc>
          <w:tcPr>
            <w:tcW w:w="990" w:type="dxa"/>
            <w:tcBorders>
              <w:top w:val="nil"/>
              <w:left w:val="nil"/>
              <w:bottom w:val="nil"/>
              <w:right w:val="nil"/>
            </w:tcBorders>
            <w:shd w:val="clear" w:color="auto" w:fill="auto"/>
            <w:noWrap/>
            <w:vAlign w:val="bottom"/>
          </w:tcPr>
          <w:p w:rsidR="00404448" w:rsidRPr="00F415B8" w:rsidRDefault="00404448" w:rsidP="00404448">
            <w:pPr>
              <w:spacing w:after="0"/>
              <w:rPr>
                <w:szCs w:val="22"/>
              </w:rPr>
            </w:pPr>
          </w:p>
        </w:tc>
        <w:tc>
          <w:tcPr>
            <w:tcW w:w="632" w:type="dxa"/>
            <w:tcBorders>
              <w:top w:val="nil"/>
              <w:left w:val="nil"/>
              <w:bottom w:val="nil"/>
              <w:right w:val="nil"/>
            </w:tcBorders>
            <w:shd w:val="clear" w:color="auto" w:fill="auto"/>
            <w:noWrap/>
            <w:vAlign w:val="bottom"/>
          </w:tcPr>
          <w:p w:rsidR="00404448" w:rsidRPr="00F415B8" w:rsidRDefault="00404448" w:rsidP="00404448">
            <w:pPr>
              <w:spacing w:after="0"/>
              <w:rPr>
                <w:szCs w:val="22"/>
              </w:rPr>
            </w:pPr>
          </w:p>
        </w:tc>
        <w:tc>
          <w:tcPr>
            <w:tcW w:w="718" w:type="dxa"/>
            <w:tcBorders>
              <w:top w:val="nil"/>
              <w:left w:val="nil"/>
              <w:bottom w:val="nil"/>
              <w:right w:val="nil"/>
            </w:tcBorders>
            <w:shd w:val="clear" w:color="auto" w:fill="auto"/>
            <w:noWrap/>
            <w:vAlign w:val="bottom"/>
          </w:tcPr>
          <w:p w:rsidR="00404448" w:rsidRPr="00F415B8" w:rsidRDefault="00404448" w:rsidP="00404448">
            <w:pPr>
              <w:spacing w:after="0"/>
              <w:jc w:val="center"/>
              <w:rPr>
                <w:szCs w:val="22"/>
              </w:rPr>
            </w:pPr>
          </w:p>
        </w:tc>
        <w:tc>
          <w:tcPr>
            <w:tcW w:w="877" w:type="dxa"/>
            <w:tcBorders>
              <w:top w:val="nil"/>
              <w:left w:val="nil"/>
              <w:bottom w:val="nil"/>
              <w:right w:val="nil"/>
            </w:tcBorders>
            <w:shd w:val="clear" w:color="auto" w:fill="auto"/>
            <w:noWrap/>
            <w:vAlign w:val="bottom"/>
          </w:tcPr>
          <w:p w:rsidR="00404448" w:rsidRPr="00F415B8" w:rsidRDefault="00404448" w:rsidP="00404448">
            <w:pPr>
              <w:spacing w:after="0"/>
              <w:jc w:val="center"/>
              <w:rPr>
                <w:szCs w:val="22"/>
              </w:rPr>
            </w:pPr>
          </w:p>
        </w:tc>
        <w:tc>
          <w:tcPr>
            <w:tcW w:w="877" w:type="dxa"/>
            <w:tcBorders>
              <w:top w:val="nil"/>
              <w:left w:val="nil"/>
              <w:bottom w:val="nil"/>
              <w:right w:val="nil"/>
            </w:tcBorders>
            <w:shd w:val="clear" w:color="auto" w:fill="auto"/>
            <w:noWrap/>
            <w:vAlign w:val="bottom"/>
          </w:tcPr>
          <w:p w:rsidR="00404448" w:rsidRPr="00F415B8" w:rsidRDefault="00404448" w:rsidP="00404448">
            <w:pPr>
              <w:spacing w:after="0"/>
              <w:rPr>
                <w:szCs w:val="22"/>
              </w:rPr>
            </w:pPr>
          </w:p>
        </w:tc>
        <w:tc>
          <w:tcPr>
            <w:tcW w:w="877" w:type="dxa"/>
            <w:tcBorders>
              <w:top w:val="nil"/>
              <w:left w:val="nil"/>
              <w:bottom w:val="nil"/>
              <w:right w:val="nil"/>
            </w:tcBorders>
            <w:shd w:val="clear" w:color="auto" w:fill="auto"/>
            <w:noWrap/>
            <w:vAlign w:val="bottom"/>
          </w:tcPr>
          <w:p w:rsidR="00404448" w:rsidRPr="00F415B8" w:rsidRDefault="00404448" w:rsidP="00404448">
            <w:pPr>
              <w:spacing w:after="0"/>
              <w:jc w:val="right"/>
              <w:rPr>
                <w:szCs w:val="22"/>
              </w:rPr>
            </w:pPr>
            <w:r w:rsidRPr="00F415B8">
              <w:rPr>
                <w:szCs w:val="22"/>
              </w:rPr>
              <w:t>Noise</w:t>
            </w:r>
          </w:p>
        </w:tc>
        <w:tc>
          <w:tcPr>
            <w:tcW w:w="1149" w:type="dxa"/>
            <w:tcBorders>
              <w:top w:val="nil"/>
              <w:left w:val="nil"/>
              <w:bottom w:val="nil"/>
              <w:right w:val="nil"/>
            </w:tcBorders>
            <w:shd w:val="clear" w:color="auto" w:fill="auto"/>
            <w:noWrap/>
            <w:vAlign w:val="bottom"/>
          </w:tcPr>
          <w:p w:rsidR="00404448" w:rsidRPr="00F415B8" w:rsidRDefault="00404448" w:rsidP="00404448">
            <w:pPr>
              <w:spacing w:after="0"/>
              <w:jc w:val="right"/>
              <w:rPr>
                <w:szCs w:val="22"/>
              </w:rPr>
            </w:pPr>
            <w:r w:rsidRPr="00F415B8">
              <w:rPr>
                <w:szCs w:val="22"/>
              </w:rPr>
              <w:t>Noise</w:t>
            </w:r>
          </w:p>
        </w:tc>
        <w:tc>
          <w:tcPr>
            <w:tcW w:w="990" w:type="dxa"/>
            <w:tcBorders>
              <w:top w:val="nil"/>
              <w:left w:val="nil"/>
              <w:bottom w:val="nil"/>
              <w:right w:val="nil"/>
            </w:tcBorders>
            <w:shd w:val="clear" w:color="auto" w:fill="auto"/>
            <w:noWrap/>
            <w:vAlign w:val="bottom"/>
          </w:tcPr>
          <w:p w:rsidR="00404448" w:rsidRPr="00F415B8" w:rsidRDefault="00404448" w:rsidP="00404448">
            <w:pPr>
              <w:spacing w:after="0"/>
              <w:jc w:val="center"/>
              <w:rPr>
                <w:szCs w:val="22"/>
              </w:rPr>
            </w:pPr>
            <w:r w:rsidRPr="00F415B8">
              <w:rPr>
                <w:szCs w:val="22"/>
              </w:rPr>
              <w:t>Gain</w:t>
            </w:r>
          </w:p>
        </w:tc>
        <w:tc>
          <w:tcPr>
            <w:tcW w:w="990" w:type="dxa"/>
            <w:tcBorders>
              <w:top w:val="nil"/>
              <w:left w:val="nil"/>
              <w:bottom w:val="nil"/>
              <w:right w:val="nil"/>
            </w:tcBorders>
            <w:shd w:val="clear" w:color="auto" w:fill="auto"/>
            <w:noWrap/>
            <w:vAlign w:val="bottom"/>
          </w:tcPr>
          <w:p w:rsidR="00404448" w:rsidRPr="00F415B8" w:rsidRDefault="00404448" w:rsidP="00404448">
            <w:pPr>
              <w:spacing w:after="0"/>
              <w:jc w:val="right"/>
            </w:pPr>
            <w:r w:rsidRPr="00F415B8">
              <w:t>Under</w:t>
            </w:r>
          </w:p>
        </w:tc>
        <w:tc>
          <w:tcPr>
            <w:tcW w:w="1260" w:type="dxa"/>
            <w:tcBorders>
              <w:top w:val="nil"/>
              <w:left w:val="nil"/>
              <w:bottom w:val="nil"/>
              <w:right w:val="nil"/>
            </w:tcBorders>
            <w:shd w:val="clear" w:color="auto" w:fill="auto"/>
            <w:noWrap/>
            <w:vAlign w:val="bottom"/>
          </w:tcPr>
          <w:p w:rsidR="00404448" w:rsidRPr="00F415B8" w:rsidRDefault="00404448" w:rsidP="00404448">
            <w:pPr>
              <w:spacing w:after="0"/>
              <w:jc w:val="right"/>
            </w:pPr>
            <w:r w:rsidRPr="00F415B8">
              <w:t>Well</w:t>
            </w:r>
          </w:p>
        </w:tc>
        <w:tc>
          <w:tcPr>
            <w:tcW w:w="877" w:type="dxa"/>
            <w:tcBorders>
              <w:top w:val="nil"/>
              <w:left w:val="nil"/>
              <w:bottom w:val="nil"/>
              <w:right w:val="nil"/>
            </w:tcBorders>
            <w:shd w:val="clear" w:color="auto" w:fill="auto"/>
            <w:noWrap/>
            <w:vAlign w:val="bottom"/>
          </w:tcPr>
          <w:p w:rsidR="00404448" w:rsidRPr="00F415B8" w:rsidRDefault="00404448" w:rsidP="00404448">
            <w:pPr>
              <w:spacing w:after="0"/>
              <w:rPr>
                <w:szCs w:val="22"/>
              </w:rPr>
            </w:pPr>
          </w:p>
        </w:tc>
      </w:tr>
      <w:tr w:rsidR="00404448" w:rsidRPr="00F415B8">
        <w:trPr>
          <w:trHeight w:val="260"/>
          <w:tblHeader/>
        </w:trPr>
        <w:tc>
          <w:tcPr>
            <w:tcW w:w="990" w:type="dxa"/>
            <w:tcBorders>
              <w:top w:val="nil"/>
              <w:left w:val="nil"/>
              <w:bottom w:val="nil"/>
              <w:right w:val="nil"/>
            </w:tcBorders>
            <w:shd w:val="clear" w:color="auto" w:fill="auto"/>
            <w:noWrap/>
            <w:vAlign w:val="bottom"/>
          </w:tcPr>
          <w:p w:rsidR="00404448" w:rsidRPr="00F415B8" w:rsidRDefault="00404448" w:rsidP="00404448">
            <w:pPr>
              <w:spacing w:after="0"/>
              <w:jc w:val="center"/>
              <w:rPr>
                <w:szCs w:val="22"/>
              </w:rPr>
            </w:pPr>
            <w:r w:rsidRPr="00F415B8">
              <w:rPr>
                <w:szCs w:val="22"/>
              </w:rPr>
              <w:t>Mod</w:t>
            </w:r>
          </w:p>
        </w:tc>
        <w:tc>
          <w:tcPr>
            <w:tcW w:w="632" w:type="dxa"/>
            <w:tcBorders>
              <w:top w:val="nil"/>
              <w:left w:val="nil"/>
              <w:bottom w:val="nil"/>
              <w:right w:val="nil"/>
            </w:tcBorders>
            <w:shd w:val="clear" w:color="auto" w:fill="auto"/>
            <w:noWrap/>
            <w:vAlign w:val="bottom"/>
          </w:tcPr>
          <w:p w:rsidR="00404448" w:rsidRPr="00F415B8" w:rsidRDefault="00404448" w:rsidP="00404448">
            <w:pPr>
              <w:spacing w:after="0"/>
              <w:jc w:val="center"/>
              <w:rPr>
                <w:szCs w:val="22"/>
              </w:rPr>
            </w:pPr>
          </w:p>
        </w:tc>
        <w:tc>
          <w:tcPr>
            <w:tcW w:w="718" w:type="dxa"/>
            <w:tcBorders>
              <w:top w:val="nil"/>
              <w:left w:val="nil"/>
              <w:bottom w:val="nil"/>
              <w:right w:val="nil"/>
            </w:tcBorders>
            <w:shd w:val="clear" w:color="auto" w:fill="auto"/>
            <w:noWrap/>
            <w:vAlign w:val="bottom"/>
          </w:tcPr>
          <w:p w:rsidR="00404448" w:rsidRPr="00F415B8" w:rsidRDefault="00404448" w:rsidP="00404448">
            <w:pPr>
              <w:spacing w:after="0"/>
              <w:jc w:val="center"/>
              <w:rPr>
                <w:szCs w:val="22"/>
              </w:rPr>
            </w:pPr>
          </w:p>
        </w:tc>
        <w:tc>
          <w:tcPr>
            <w:tcW w:w="877" w:type="dxa"/>
            <w:tcBorders>
              <w:top w:val="nil"/>
              <w:left w:val="nil"/>
              <w:bottom w:val="nil"/>
              <w:right w:val="nil"/>
            </w:tcBorders>
            <w:shd w:val="clear" w:color="auto" w:fill="auto"/>
            <w:noWrap/>
            <w:vAlign w:val="bottom"/>
          </w:tcPr>
          <w:p w:rsidR="00404448" w:rsidRPr="00F415B8" w:rsidRDefault="00404448" w:rsidP="00404448">
            <w:pPr>
              <w:spacing w:after="0"/>
              <w:jc w:val="center"/>
              <w:rPr>
                <w:szCs w:val="22"/>
              </w:rPr>
            </w:pPr>
            <w:r w:rsidRPr="00F415B8">
              <w:rPr>
                <w:szCs w:val="22"/>
              </w:rPr>
              <w:t>Time</w:t>
            </w:r>
          </w:p>
        </w:tc>
        <w:tc>
          <w:tcPr>
            <w:tcW w:w="877" w:type="dxa"/>
            <w:tcBorders>
              <w:top w:val="nil"/>
              <w:left w:val="nil"/>
              <w:bottom w:val="nil"/>
              <w:right w:val="nil"/>
            </w:tcBorders>
            <w:shd w:val="clear" w:color="auto" w:fill="auto"/>
            <w:noWrap/>
            <w:vAlign w:val="bottom"/>
          </w:tcPr>
          <w:p w:rsidR="00404448" w:rsidRPr="00F415B8" w:rsidRDefault="00404448" w:rsidP="00404448">
            <w:pPr>
              <w:spacing w:after="0"/>
              <w:jc w:val="center"/>
              <w:rPr>
                <w:szCs w:val="22"/>
              </w:rPr>
            </w:pPr>
            <w:r w:rsidRPr="00F415B8">
              <w:rPr>
                <w:szCs w:val="22"/>
              </w:rPr>
              <w:t>ECA</w:t>
            </w:r>
          </w:p>
        </w:tc>
        <w:tc>
          <w:tcPr>
            <w:tcW w:w="877" w:type="dxa"/>
            <w:tcBorders>
              <w:top w:val="nil"/>
              <w:left w:val="nil"/>
              <w:bottom w:val="nil"/>
              <w:right w:val="nil"/>
            </w:tcBorders>
            <w:shd w:val="clear" w:color="auto" w:fill="auto"/>
            <w:vAlign w:val="bottom"/>
          </w:tcPr>
          <w:p w:rsidR="00404448" w:rsidRPr="00F415B8" w:rsidRDefault="00404448" w:rsidP="00404448">
            <w:pPr>
              <w:spacing w:after="0"/>
              <w:jc w:val="right"/>
              <w:rPr>
                <w:szCs w:val="22"/>
              </w:rPr>
            </w:pPr>
            <w:r w:rsidRPr="00F415B8">
              <w:rPr>
                <w:szCs w:val="22"/>
              </w:rPr>
              <w:t>Side 2</w:t>
            </w:r>
          </w:p>
        </w:tc>
        <w:tc>
          <w:tcPr>
            <w:tcW w:w="1149" w:type="dxa"/>
            <w:tcBorders>
              <w:top w:val="nil"/>
              <w:left w:val="nil"/>
              <w:bottom w:val="nil"/>
              <w:right w:val="nil"/>
            </w:tcBorders>
            <w:shd w:val="clear" w:color="auto" w:fill="auto"/>
            <w:vAlign w:val="bottom"/>
          </w:tcPr>
          <w:p w:rsidR="00404448" w:rsidRPr="00F415B8" w:rsidRDefault="00404448" w:rsidP="00404448">
            <w:pPr>
              <w:spacing w:after="0"/>
              <w:jc w:val="right"/>
              <w:rPr>
                <w:szCs w:val="22"/>
              </w:rPr>
            </w:pPr>
            <w:r w:rsidRPr="00F415B8">
              <w:rPr>
                <w:szCs w:val="22"/>
              </w:rPr>
              <w:t>Side 2</w:t>
            </w:r>
          </w:p>
        </w:tc>
        <w:tc>
          <w:tcPr>
            <w:tcW w:w="990" w:type="dxa"/>
            <w:tcBorders>
              <w:top w:val="nil"/>
              <w:left w:val="nil"/>
              <w:bottom w:val="nil"/>
              <w:right w:val="nil"/>
            </w:tcBorders>
            <w:shd w:val="clear" w:color="auto" w:fill="auto"/>
            <w:noWrap/>
            <w:vAlign w:val="bottom"/>
          </w:tcPr>
          <w:p w:rsidR="00404448" w:rsidRPr="00F415B8" w:rsidRDefault="00404448" w:rsidP="00404448">
            <w:pPr>
              <w:spacing w:after="0"/>
              <w:jc w:val="center"/>
              <w:rPr>
                <w:szCs w:val="22"/>
              </w:rPr>
            </w:pPr>
            <w:r w:rsidRPr="00F415B8">
              <w:rPr>
                <w:szCs w:val="22"/>
              </w:rPr>
              <w:t>Side 2</w:t>
            </w:r>
          </w:p>
        </w:tc>
        <w:tc>
          <w:tcPr>
            <w:tcW w:w="990" w:type="dxa"/>
            <w:tcBorders>
              <w:top w:val="nil"/>
              <w:left w:val="nil"/>
              <w:bottom w:val="nil"/>
              <w:right w:val="nil"/>
            </w:tcBorders>
            <w:shd w:val="clear" w:color="auto" w:fill="auto"/>
            <w:noWrap/>
            <w:vAlign w:val="bottom"/>
          </w:tcPr>
          <w:p w:rsidR="00404448" w:rsidRPr="00F415B8" w:rsidRDefault="00404448" w:rsidP="00404448">
            <w:pPr>
              <w:spacing w:after="0"/>
              <w:jc w:val="right"/>
              <w:rPr>
                <w:szCs w:val="22"/>
              </w:rPr>
            </w:pPr>
            <w:r w:rsidRPr="00F415B8">
              <w:rPr>
                <w:szCs w:val="22"/>
              </w:rPr>
              <w:t>shoot</w:t>
            </w:r>
          </w:p>
        </w:tc>
        <w:tc>
          <w:tcPr>
            <w:tcW w:w="1260" w:type="dxa"/>
            <w:tcBorders>
              <w:top w:val="nil"/>
              <w:left w:val="nil"/>
              <w:bottom w:val="nil"/>
              <w:right w:val="nil"/>
            </w:tcBorders>
            <w:shd w:val="clear" w:color="auto" w:fill="auto"/>
            <w:noWrap/>
            <w:vAlign w:val="bottom"/>
          </w:tcPr>
          <w:p w:rsidR="00404448" w:rsidRPr="00F415B8" w:rsidRDefault="00404448" w:rsidP="00404448">
            <w:pPr>
              <w:spacing w:after="0"/>
              <w:jc w:val="right"/>
              <w:rPr>
                <w:szCs w:val="22"/>
              </w:rPr>
            </w:pPr>
            <w:r w:rsidRPr="00F415B8">
              <w:rPr>
                <w:szCs w:val="22"/>
              </w:rPr>
              <w:t>depth</w:t>
            </w:r>
          </w:p>
        </w:tc>
        <w:tc>
          <w:tcPr>
            <w:tcW w:w="877" w:type="dxa"/>
            <w:tcBorders>
              <w:top w:val="nil"/>
              <w:left w:val="nil"/>
              <w:bottom w:val="nil"/>
              <w:right w:val="nil"/>
            </w:tcBorders>
            <w:shd w:val="clear" w:color="auto" w:fill="auto"/>
            <w:noWrap/>
            <w:vAlign w:val="bottom"/>
          </w:tcPr>
          <w:p w:rsidR="00404448" w:rsidRPr="00F415B8" w:rsidRDefault="00404448" w:rsidP="00404448">
            <w:pPr>
              <w:spacing w:after="0"/>
              <w:rPr>
                <w:szCs w:val="22"/>
              </w:rPr>
            </w:pPr>
            <w:r w:rsidRPr="00F415B8">
              <w:rPr>
                <w:szCs w:val="22"/>
              </w:rPr>
              <w:t>RB</w:t>
            </w:r>
          </w:p>
        </w:tc>
      </w:tr>
      <w:tr w:rsidR="00404448" w:rsidRPr="00F415B8">
        <w:trPr>
          <w:trHeight w:val="260"/>
          <w:tblHeader/>
        </w:trPr>
        <w:tc>
          <w:tcPr>
            <w:tcW w:w="990" w:type="dxa"/>
            <w:tcBorders>
              <w:top w:val="nil"/>
              <w:left w:val="nil"/>
              <w:bottom w:val="nil"/>
              <w:right w:val="nil"/>
            </w:tcBorders>
            <w:shd w:val="clear" w:color="auto" w:fill="auto"/>
            <w:noWrap/>
            <w:vAlign w:val="bottom"/>
          </w:tcPr>
          <w:p w:rsidR="00404448" w:rsidRPr="00F415B8" w:rsidRDefault="00404448" w:rsidP="00404448">
            <w:pPr>
              <w:spacing w:after="0"/>
              <w:jc w:val="center"/>
              <w:rPr>
                <w:szCs w:val="22"/>
              </w:rPr>
            </w:pPr>
            <w:r w:rsidRPr="00F415B8">
              <w:rPr>
                <w:szCs w:val="22"/>
              </w:rPr>
              <w:t>Out</w:t>
            </w:r>
          </w:p>
        </w:tc>
        <w:tc>
          <w:tcPr>
            <w:tcW w:w="632" w:type="dxa"/>
            <w:tcBorders>
              <w:top w:val="nil"/>
              <w:left w:val="nil"/>
              <w:bottom w:val="nil"/>
              <w:right w:val="nil"/>
            </w:tcBorders>
            <w:shd w:val="clear" w:color="auto" w:fill="auto"/>
            <w:noWrap/>
            <w:vAlign w:val="bottom"/>
          </w:tcPr>
          <w:p w:rsidR="00404448" w:rsidRPr="00F415B8" w:rsidRDefault="00404448" w:rsidP="00404448">
            <w:pPr>
              <w:spacing w:after="0"/>
              <w:jc w:val="center"/>
              <w:rPr>
                <w:szCs w:val="22"/>
              </w:rPr>
            </w:pPr>
            <w:r w:rsidRPr="00F415B8">
              <w:rPr>
                <w:szCs w:val="22"/>
              </w:rPr>
              <w:t>Ch</w:t>
            </w:r>
          </w:p>
        </w:tc>
        <w:tc>
          <w:tcPr>
            <w:tcW w:w="718" w:type="dxa"/>
            <w:tcBorders>
              <w:top w:val="nil"/>
              <w:left w:val="nil"/>
              <w:bottom w:val="nil"/>
              <w:right w:val="nil"/>
            </w:tcBorders>
            <w:shd w:val="clear" w:color="auto" w:fill="auto"/>
            <w:noWrap/>
            <w:vAlign w:val="bottom"/>
          </w:tcPr>
          <w:p w:rsidR="00404448" w:rsidRPr="00F415B8" w:rsidRDefault="00404448" w:rsidP="00404448">
            <w:pPr>
              <w:spacing w:after="0"/>
              <w:jc w:val="center"/>
              <w:rPr>
                <w:szCs w:val="22"/>
              </w:rPr>
            </w:pPr>
            <w:r w:rsidRPr="00F415B8">
              <w:rPr>
                <w:szCs w:val="22"/>
              </w:rPr>
              <w:t>ECA</w:t>
            </w:r>
          </w:p>
        </w:tc>
        <w:tc>
          <w:tcPr>
            <w:tcW w:w="877" w:type="dxa"/>
            <w:tcBorders>
              <w:top w:val="nil"/>
              <w:left w:val="nil"/>
              <w:bottom w:val="nil"/>
              <w:right w:val="nil"/>
            </w:tcBorders>
            <w:shd w:val="clear" w:color="auto" w:fill="auto"/>
            <w:noWrap/>
            <w:vAlign w:val="bottom"/>
          </w:tcPr>
          <w:p w:rsidR="00404448" w:rsidRPr="00F415B8" w:rsidRDefault="00404448" w:rsidP="00404448">
            <w:pPr>
              <w:spacing w:after="0"/>
              <w:jc w:val="center"/>
              <w:rPr>
                <w:szCs w:val="22"/>
              </w:rPr>
            </w:pPr>
            <w:r w:rsidRPr="00F415B8">
              <w:rPr>
                <w:szCs w:val="22"/>
              </w:rPr>
              <w:t>Slice</w:t>
            </w:r>
          </w:p>
        </w:tc>
        <w:tc>
          <w:tcPr>
            <w:tcW w:w="877" w:type="dxa"/>
            <w:tcBorders>
              <w:top w:val="nil"/>
              <w:left w:val="nil"/>
              <w:bottom w:val="nil"/>
              <w:right w:val="nil"/>
            </w:tcBorders>
            <w:shd w:val="clear" w:color="auto" w:fill="auto"/>
            <w:noWrap/>
            <w:vAlign w:val="bottom"/>
          </w:tcPr>
          <w:p w:rsidR="00404448" w:rsidRPr="00F415B8" w:rsidRDefault="00404448" w:rsidP="00404448">
            <w:pPr>
              <w:spacing w:after="0"/>
              <w:jc w:val="center"/>
              <w:rPr>
                <w:szCs w:val="22"/>
              </w:rPr>
            </w:pPr>
            <w:r w:rsidRPr="00F415B8">
              <w:rPr>
                <w:szCs w:val="22"/>
              </w:rPr>
              <w:t>input #</w:t>
            </w:r>
          </w:p>
        </w:tc>
        <w:tc>
          <w:tcPr>
            <w:tcW w:w="877" w:type="dxa"/>
            <w:tcBorders>
              <w:top w:val="nil"/>
              <w:left w:val="nil"/>
              <w:bottom w:val="nil"/>
              <w:right w:val="nil"/>
            </w:tcBorders>
            <w:shd w:val="clear" w:color="auto" w:fill="auto"/>
            <w:vAlign w:val="bottom"/>
          </w:tcPr>
          <w:p w:rsidR="00404448" w:rsidRPr="00F415B8" w:rsidRDefault="00404448" w:rsidP="00404448">
            <w:pPr>
              <w:spacing w:after="0"/>
              <w:jc w:val="right"/>
              <w:rPr>
                <w:szCs w:val="22"/>
              </w:rPr>
            </w:pPr>
            <w:r w:rsidRPr="00F415B8">
              <w:rPr>
                <w:szCs w:val="22"/>
              </w:rPr>
              <w:t>DN</w:t>
            </w:r>
          </w:p>
        </w:tc>
        <w:tc>
          <w:tcPr>
            <w:tcW w:w="1149" w:type="dxa"/>
            <w:tcBorders>
              <w:top w:val="nil"/>
              <w:left w:val="nil"/>
              <w:bottom w:val="nil"/>
              <w:right w:val="nil"/>
            </w:tcBorders>
            <w:shd w:val="clear" w:color="auto" w:fill="auto"/>
            <w:vAlign w:val="bottom"/>
          </w:tcPr>
          <w:p w:rsidR="00404448" w:rsidRPr="00F415B8" w:rsidRDefault="00404448" w:rsidP="00404448">
            <w:pPr>
              <w:spacing w:after="0"/>
              <w:jc w:val="right"/>
              <w:rPr>
                <w:szCs w:val="22"/>
              </w:rPr>
            </w:pPr>
            <w:r w:rsidRPr="00F415B8">
              <w:rPr>
                <w:szCs w:val="22"/>
              </w:rPr>
              <w:t>e-</w:t>
            </w:r>
          </w:p>
        </w:tc>
        <w:tc>
          <w:tcPr>
            <w:tcW w:w="990" w:type="dxa"/>
            <w:tcBorders>
              <w:top w:val="nil"/>
              <w:left w:val="nil"/>
              <w:bottom w:val="nil"/>
              <w:right w:val="nil"/>
            </w:tcBorders>
            <w:shd w:val="clear" w:color="auto" w:fill="auto"/>
            <w:vAlign w:val="bottom"/>
          </w:tcPr>
          <w:p w:rsidR="00404448" w:rsidRPr="00F415B8" w:rsidRDefault="00404448" w:rsidP="00404448">
            <w:pPr>
              <w:spacing w:after="0"/>
              <w:rPr>
                <w:szCs w:val="22"/>
              </w:rPr>
            </w:pPr>
            <w:r w:rsidRPr="00F415B8">
              <w:rPr>
                <w:szCs w:val="22"/>
              </w:rPr>
              <w:t>(e-/DN)</w:t>
            </w:r>
          </w:p>
        </w:tc>
        <w:tc>
          <w:tcPr>
            <w:tcW w:w="990" w:type="dxa"/>
            <w:tcBorders>
              <w:top w:val="nil"/>
              <w:left w:val="nil"/>
              <w:bottom w:val="nil"/>
              <w:right w:val="nil"/>
            </w:tcBorders>
            <w:shd w:val="clear" w:color="auto" w:fill="auto"/>
            <w:noWrap/>
            <w:vAlign w:val="bottom"/>
          </w:tcPr>
          <w:p w:rsidR="00404448" w:rsidRPr="00F415B8" w:rsidRDefault="00404448" w:rsidP="00404448">
            <w:pPr>
              <w:spacing w:after="0"/>
              <w:jc w:val="right"/>
              <w:rPr>
                <w:szCs w:val="22"/>
              </w:rPr>
            </w:pPr>
            <w:r w:rsidRPr="00F415B8">
              <w:rPr>
                <w:szCs w:val="22"/>
              </w:rPr>
              <w:t>%</w:t>
            </w:r>
          </w:p>
        </w:tc>
        <w:tc>
          <w:tcPr>
            <w:tcW w:w="1260" w:type="dxa"/>
            <w:tcBorders>
              <w:top w:val="nil"/>
              <w:left w:val="nil"/>
              <w:bottom w:val="nil"/>
              <w:right w:val="nil"/>
            </w:tcBorders>
            <w:shd w:val="clear" w:color="auto" w:fill="auto"/>
            <w:noWrap/>
            <w:vAlign w:val="bottom"/>
          </w:tcPr>
          <w:p w:rsidR="00404448" w:rsidRPr="00F415B8" w:rsidRDefault="00404448" w:rsidP="00404448">
            <w:pPr>
              <w:spacing w:after="0"/>
              <w:jc w:val="right"/>
              <w:rPr>
                <w:szCs w:val="22"/>
              </w:rPr>
            </w:pPr>
            <w:r w:rsidRPr="00F415B8">
              <w:rPr>
                <w:szCs w:val="22"/>
              </w:rPr>
              <w:t>e-</w:t>
            </w:r>
          </w:p>
        </w:tc>
        <w:tc>
          <w:tcPr>
            <w:tcW w:w="877" w:type="dxa"/>
            <w:tcBorders>
              <w:top w:val="nil"/>
              <w:left w:val="nil"/>
              <w:bottom w:val="nil"/>
              <w:right w:val="nil"/>
            </w:tcBorders>
            <w:shd w:val="clear" w:color="auto" w:fill="auto"/>
            <w:noWrap/>
            <w:vAlign w:val="bottom"/>
          </w:tcPr>
          <w:p w:rsidR="00404448" w:rsidRPr="00F415B8" w:rsidRDefault="00404448" w:rsidP="00404448">
            <w:pPr>
              <w:spacing w:after="0"/>
              <w:rPr>
                <w:szCs w:val="22"/>
              </w:rPr>
            </w:pPr>
            <w:r w:rsidRPr="00F415B8">
              <w:rPr>
                <w:szCs w:val="22"/>
              </w:rPr>
              <w:t>Moire</w:t>
            </w:r>
          </w:p>
        </w:tc>
      </w:tr>
      <w:tr w:rsidR="00404448" w:rsidRPr="00F415B8">
        <w:trPr>
          <w:trHeight w:val="260"/>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2.1</w:t>
            </w:r>
          </w:p>
        </w:tc>
        <w:tc>
          <w:tcPr>
            <w:tcW w:w="63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1</w:t>
            </w:r>
          </w:p>
        </w:tc>
        <w:tc>
          <w:tcPr>
            <w:tcW w:w="71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503</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4</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0.79</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87.6</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111.2</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0.25</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rPr>
            </w:pPr>
            <w:r w:rsidRPr="00F415B8">
              <w:rPr>
                <w:rFonts w:ascii="Courier" w:hAnsi="Courier"/>
              </w:rPr>
              <w:t>1.03E+06</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szCs w:val="22"/>
              </w:rPr>
            </w:pPr>
            <w:r w:rsidRPr="00F415B8">
              <w:rPr>
                <w:rFonts w:ascii="Courier" w:hAnsi="Courier"/>
                <w:szCs w:val="22"/>
              </w:rPr>
              <w:t> </w:t>
            </w:r>
          </w:p>
        </w:tc>
      </w:tr>
      <w:tr w:rsidR="00404448" w:rsidRPr="00F415B8">
        <w:trPr>
          <w:trHeight w:val="260"/>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2.2</w:t>
            </w:r>
          </w:p>
        </w:tc>
        <w:tc>
          <w:tcPr>
            <w:tcW w:w="63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2</w:t>
            </w:r>
          </w:p>
        </w:tc>
        <w:tc>
          <w:tcPr>
            <w:tcW w:w="71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503</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4</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0.97</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103.3</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106.9</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0.21</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rPr>
            </w:pPr>
            <w:r w:rsidRPr="00F415B8">
              <w:rPr>
                <w:rFonts w:ascii="Courier" w:hAnsi="Courier"/>
              </w:rPr>
              <w:t>1.04E+06</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szCs w:val="22"/>
              </w:rPr>
            </w:pPr>
            <w:r w:rsidRPr="00F415B8">
              <w:rPr>
                <w:rFonts w:ascii="Courier" w:hAnsi="Courier"/>
                <w:szCs w:val="22"/>
              </w:rPr>
              <w:t> </w:t>
            </w:r>
          </w:p>
        </w:tc>
      </w:tr>
      <w:tr w:rsidR="00404448" w:rsidRPr="00F415B8">
        <w:trPr>
          <w:trHeight w:val="260"/>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2.3</w:t>
            </w:r>
          </w:p>
        </w:tc>
        <w:tc>
          <w:tcPr>
            <w:tcW w:w="63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3</w:t>
            </w:r>
          </w:p>
        </w:tc>
        <w:tc>
          <w:tcPr>
            <w:tcW w:w="71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503</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4</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1.12</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116.4</w:t>
            </w:r>
          </w:p>
        </w:tc>
        <w:tc>
          <w:tcPr>
            <w:tcW w:w="990" w:type="dxa"/>
            <w:tcBorders>
              <w:top w:val="nil"/>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103.5</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0.26</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rPr>
            </w:pPr>
            <w:r w:rsidRPr="00F415B8">
              <w:rPr>
                <w:rFonts w:ascii="Courier" w:hAnsi="Courier"/>
              </w:rPr>
              <w:t>1.08E+06</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szCs w:val="22"/>
              </w:rPr>
            </w:pPr>
            <w:r w:rsidRPr="00F415B8">
              <w:rPr>
                <w:rFonts w:ascii="Courier" w:hAnsi="Courier"/>
                <w:szCs w:val="22"/>
              </w:rPr>
              <w:t> </w:t>
            </w:r>
          </w:p>
        </w:tc>
      </w:tr>
      <w:tr w:rsidR="00404448" w:rsidRPr="00F415B8">
        <w:trPr>
          <w:trHeight w:val="260"/>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2.4</w:t>
            </w:r>
          </w:p>
        </w:tc>
        <w:tc>
          <w:tcPr>
            <w:tcW w:w="63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4</w:t>
            </w:r>
          </w:p>
        </w:tc>
        <w:tc>
          <w:tcPr>
            <w:tcW w:w="71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503</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4</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1.06</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111.0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104.8</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0.44</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rPr>
            </w:pPr>
            <w:r w:rsidRPr="00F415B8">
              <w:rPr>
                <w:rFonts w:ascii="Courier" w:hAnsi="Courier"/>
              </w:rPr>
              <w:t>1.05E+06</w:t>
            </w:r>
          </w:p>
        </w:tc>
        <w:tc>
          <w:tcPr>
            <w:tcW w:w="877" w:type="dxa"/>
            <w:tcBorders>
              <w:top w:val="single" w:sz="4" w:space="0" w:color="auto"/>
              <w:left w:val="single" w:sz="4" w:space="0" w:color="auto"/>
              <w:bottom w:val="single" w:sz="4" w:space="0" w:color="auto"/>
              <w:right w:val="single" w:sz="4" w:space="0" w:color="auto"/>
            </w:tcBorders>
            <w:shd w:val="clear" w:color="auto" w:fill="FFFF99"/>
            <w:noWrap/>
            <w:vAlign w:val="bottom"/>
          </w:tcPr>
          <w:p w:rsidR="00404448" w:rsidRPr="00F415B8" w:rsidRDefault="00404448" w:rsidP="00404448">
            <w:pPr>
              <w:spacing w:after="0"/>
              <w:rPr>
                <w:rFonts w:ascii="Courier" w:hAnsi="Courier"/>
                <w:szCs w:val="22"/>
              </w:rPr>
            </w:pPr>
            <w:r w:rsidRPr="00F415B8">
              <w:rPr>
                <w:rFonts w:ascii="Courier" w:hAnsi="Courier"/>
                <w:szCs w:val="22"/>
              </w:rPr>
              <w:t> </w:t>
            </w:r>
          </w:p>
        </w:tc>
      </w:tr>
      <w:tr w:rsidR="00404448" w:rsidRPr="00F415B8">
        <w:trPr>
          <w:trHeight w:val="260"/>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3.1</w:t>
            </w:r>
          </w:p>
        </w:tc>
        <w:tc>
          <w:tcPr>
            <w:tcW w:w="63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5</w:t>
            </w:r>
          </w:p>
        </w:tc>
        <w:tc>
          <w:tcPr>
            <w:tcW w:w="71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502</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0.72</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80.5</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111.9</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0.26</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rPr>
            </w:pPr>
            <w:r w:rsidRPr="00F415B8">
              <w:rPr>
                <w:rFonts w:ascii="Courier" w:hAnsi="Courier"/>
              </w:rPr>
              <w:t>1.18E+06</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szCs w:val="22"/>
              </w:rPr>
            </w:pPr>
            <w:r w:rsidRPr="00F415B8">
              <w:rPr>
                <w:rFonts w:ascii="Courier" w:hAnsi="Courier"/>
                <w:szCs w:val="22"/>
              </w:rPr>
              <w:t> </w:t>
            </w:r>
          </w:p>
        </w:tc>
      </w:tr>
      <w:tr w:rsidR="00404448" w:rsidRPr="00F415B8">
        <w:trPr>
          <w:trHeight w:val="260"/>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3.2</w:t>
            </w:r>
          </w:p>
        </w:tc>
        <w:tc>
          <w:tcPr>
            <w:tcW w:w="63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6</w:t>
            </w:r>
          </w:p>
        </w:tc>
        <w:tc>
          <w:tcPr>
            <w:tcW w:w="71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502</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0.82</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92.0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112.0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0.22</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rPr>
            </w:pPr>
            <w:r w:rsidRPr="00F415B8">
              <w:rPr>
                <w:rFonts w:ascii="Courier" w:hAnsi="Courier"/>
              </w:rPr>
              <w:t>1.18E+06</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szCs w:val="22"/>
              </w:rPr>
            </w:pPr>
            <w:r w:rsidRPr="00F415B8">
              <w:rPr>
                <w:rFonts w:ascii="Courier" w:hAnsi="Courier"/>
                <w:szCs w:val="22"/>
              </w:rPr>
              <w:t> </w:t>
            </w:r>
          </w:p>
        </w:tc>
      </w:tr>
      <w:tr w:rsidR="00404448" w:rsidRPr="00F415B8">
        <w:trPr>
          <w:trHeight w:val="260"/>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3.3</w:t>
            </w:r>
          </w:p>
        </w:tc>
        <w:tc>
          <w:tcPr>
            <w:tcW w:w="63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7</w:t>
            </w:r>
          </w:p>
        </w:tc>
        <w:tc>
          <w:tcPr>
            <w:tcW w:w="71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502</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1.59</w:t>
            </w:r>
          </w:p>
        </w:tc>
        <w:tc>
          <w:tcPr>
            <w:tcW w:w="1149" w:type="dxa"/>
            <w:tcBorders>
              <w:top w:val="single" w:sz="4" w:space="0" w:color="auto"/>
              <w:left w:val="single" w:sz="4" w:space="0" w:color="auto"/>
              <w:bottom w:val="single" w:sz="4" w:space="0" w:color="auto"/>
              <w:right w:val="single" w:sz="4" w:space="0" w:color="auto"/>
            </w:tcBorders>
            <w:shd w:val="clear" w:color="auto" w:fill="FFFF99"/>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149.0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93.5</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0.30</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rPr>
            </w:pPr>
            <w:r w:rsidRPr="00F415B8">
              <w:rPr>
                <w:rFonts w:ascii="Courier" w:hAnsi="Courier"/>
              </w:rPr>
              <w:t>1.09E+06</w:t>
            </w:r>
          </w:p>
        </w:tc>
        <w:tc>
          <w:tcPr>
            <w:tcW w:w="877" w:type="dxa"/>
            <w:tcBorders>
              <w:top w:val="single" w:sz="4" w:space="0" w:color="auto"/>
              <w:left w:val="single" w:sz="4" w:space="0" w:color="auto"/>
              <w:bottom w:val="single" w:sz="4" w:space="0" w:color="auto"/>
              <w:right w:val="single" w:sz="4" w:space="0" w:color="auto"/>
            </w:tcBorders>
            <w:shd w:val="clear" w:color="auto" w:fill="FFFF99"/>
            <w:noWrap/>
            <w:vAlign w:val="bottom"/>
          </w:tcPr>
          <w:p w:rsidR="00404448" w:rsidRPr="00F415B8" w:rsidRDefault="00404448" w:rsidP="00404448">
            <w:pPr>
              <w:spacing w:after="0"/>
              <w:rPr>
                <w:rFonts w:ascii="Courier" w:hAnsi="Courier"/>
                <w:szCs w:val="22"/>
              </w:rPr>
            </w:pPr>
            <w:r w:rsidRPr="00F415B8">
              <w:rPr>
                <w:rFonts w:ascii="Courier" w:hAnsi="Courier"/>
                <w:szCs w:val="22"/>
              </w:rPr>
              <w:t> </w:t>
            </w:r>
          </w:p>
        </w:tc>
      </w:tr>
      <w:tr w:rsidR="00404448" w:rsidRPr="00F415B8">
        <w:trPr>
          <w:trHeight w:val="260"/>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3.4</w:t>
            </w:r>
          </w:p>
        </w:tc>
        <w:tc>
          <w:tcPr>
            <w:tcW w:w="63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8</w:t>
            </w:r>
          </w:p>
        </w:tc>
        <w:tc>
          <w:tcPr>
            <w:tcW w:w="71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502</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1.06</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108.1</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101.8</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0.47</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rPr>
            </w:pPr>
            <w:r w:rsidRPr="00F415B8">
              <w:rPr>
                <w:rFonts w:ascii="Courier" w:hAnsi="Courier"/>
              </w:rPr>
              <w:t>1.05E+06</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szCs w:val="22"/>
              </w:rPr>
            </w:pPr>
            <w:r w:rsidRPr="00F415B8">
              <w:rPr>
                <w:rFonts w:ascii="Courier" w:hAnsi="Courier"/>
                <w:szCs w:val="22"/>
              </w:rPr>
              <w:t> </w:t>
            </w:r>
          </w:p>
        </w:tc>
      </w:tr>
      <w:tr w:rsidR="00404448" w:rsidRPr="00F415B8">
        <w:trPr>
          <w:trHeight w:val="260"/>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4.1</w:t>
            </w:r>
          </w:p>
        </w:tc>
        <w:tc>
          <w:tcPr>
            <w:tcW w:w="63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9</w:t>
            </w:r>
          </w:p>
        </w:tc>
        <w:tc>
          <w:tcPr>
            <w:tcW w:w="71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501</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3</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0.79</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88.6</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111.6</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0.71</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rPr>
            </w:pPr>
            <w:r w:rsidRPr="00F415B8">
              <w:rPr>
                <w:rFonts w:ascii="Courier" w:hAnsi="Courier"/>
              </w:rPr>
              <w:t>1.01E+06</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szCs w:val="22"/>
              </w:rPr>
            </w:pPr>
            <w:r w:rsidRPr="00F415B8">
              <w:rPr>
                <w:rFonts w:ascii="Courier" w:hAnsi="Courier"/>
                <w:szCs w:val="22"/>
              </w:rPr>
              <w:t> </w:t>
            </w:r>
          </w:p>
        </w:tc>
      </w:tr>
      <w:tr w:rsidR="00404448" w:rsidRPr="00F415B8">
        <w:trPr>
          <w:trHeight w:val="260"/>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4.2</w:t>
            </w:r>
          </w:p>
        </w:tc>
        <w:tc>
          <w:tcPr>
            <w:tcW w:w="63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10</w:t>
            </w:r>
          </w:p>
        </w:tc>
        <w:tc>
          <w:tcPr>
            <w:tcW w:w="71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501</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3</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0.77</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73.9</w:t>
            </w:r>
          </w:p>
        </w:tc>
        <w:tc>
          <w:tcPr>
            <w:tcW w:w="990" w:type="dxa"/>
            <w:tcBorders>
              <w:top w:val="single" w:sz="4" w:space="0" w:color="auto"/>
              <w:left w:val="single" w:sz="4" w:space="0" w:color="auto"/>
              <w:bottom w:val="single" w:sz="4" w:space="0" w:color="auto"/>
              <w:right w:val="single" w:sz="4" w:space="0" w:color="auto"/>
            </w:tcBorders>
            <w:shd w:val="clear" w:color="auto" w:fill="FFFF99"/>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95.6</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0.69</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rPr>
            </w:pPr>
            <w:r w:rsidRPr="00F415B8">
              <w:rPr>
                <w:rFonts w:ascii="Courier" w:hAnsi="Courier"/>
              </w:rPr>
              <w:t>9.47E+05</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szCs w:val="22"/>
              </w:rPr>
            </w:pPr>
            <w:r w:rsidRPr="00F415B8">
              <w:rPr>
                <w:rFonts w:ascii="Courier" w:hAnsi="Courier"/>
                <w:szCs w:val="22"/>
              </w:rPr>
              <w:t> </w:t>
            </w:r>
          </w:p>
        </w:tc>
      </w:tr>
      <w:tr w:rsidR="00404448" w:rsidRPr="00F415B8">
        <w:trPr>
          <w:trHeight w:val="260"/>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4.3</w:t>
            </w:r>
          </w:p>
        </w:tc>
        <w:tc>
          <w:tcPr>
            <w:tcW w:w="63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11</w:t>
            </w:r>
          </w:p>
        </w:tc>
        <w:tc>
          <w:tcPr>
            <w:tcW w:w="71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501</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3</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0.80</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83.2</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104.7</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0.36</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rPr>
            </w:pPr>
            <w:r w:rsidRPr="00F415B8">
              <w:rPr>
                <w:rFonts w:ascii="Courier" w:hAnsi="Courier"/>
              </w:rPr>
              <w:t>1.10E+06</w:t>
            </w:r>
          </w:p>
        </w:tc>
        <w:tc>
          <w:tcPr>
            <w:tcW w:w="877" w:type="dxa"/>
            <w:tcBorders>
              <w:top w:val="single" w:sz="4" w:space="0" w:color="auto"/>
              <w:left w:val="single" w:sz="4" w:space="0" w:color="auto"/>
              <w:bottom w:val="single" w:sz="4" w:space="0" w:color="auto"/>
              <w:right w:val="single" w:sz="4" w:space="0" w:color="auto"/>
            </w:tcBorders>
            <w:shd w:val="clear" w:color="auto" w:fill="FFFF99"/>
            <w:noWrap/>
            <w:vAlign w:val="bottom"/>
          </w:tcPr>
          <w:p w:rsidR="00404448" w:rsidRPr="00F415B8" w:rsidRDefault="00404448" w:rsidP="00404448">
            <w:pPr>
              <w:spacing w:after="0"/>
              <w:rPr>
                <w:rFonts w:ascii="Courier" w:hAnsi="Courier"/>
                <w:szCs w:val="22"/>
              </w:rPr>
            </w:pPr>
            <w:r w:rsidRPr="00F415B8">
              <w:rPr>
                <w:rFonts w:ascii="Courier" w:hAnsi="Courier"/>
                <w:szCs w:val="22"/>
              </w:rPr>
              <w:t> </w:t>
            </w:r>
          </w:p>
        </w:tc>
      </w:tr>
      <w:tr w:rsidR="00404448" w:rsidRPr="00F415B8">
        <w:trPr>
          <w:trHeight w:val="260"/>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4.4</w:t>
            </w:r>
          </w:p>
        </w:tc>
        <w:tc>
          <w:tcPr>
            <w:tcW w:w="63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12</w:t>
            </w:r>
          </w:p>
        </w:tc>
        <w:tc>
          <w:tcPr>
            <w:tcW w:w="71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501</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3</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0.74</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84.2</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113.5</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0.60</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rPr>
            </w:pPr>
            <w:r w:rsidRPr="00F415B8">
              <w:rPr>
                <w:rFonts w:ascii="Courier" w:hAnsi="Courier"/>
              </w:rPr>
              <w:t>1.13E+06</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szCs w:val="22"/>
              </w:rPr>
            </w:pPr>
            <w:r w:rsidRPr="00F415B8">
              <w:rPr>
                <w:rFonts w:ascii="Courier" w:hAnsi="Courier"/>
                <w:szCs w:val="22"/>
              </w:rPr>
              <w:t> </w:t>
            </w:r>
          </w:p>
        </w:tc>
      </w:tr>
      <w:tr w:rsidR="00404448" w:rsidRPr="00F415B8">
        <w:trPr>
          <w:trHeight w:val="260"/>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6.1</w:t>
            </w:r>
          </w:p>
        </w:tc>
        <w:tc>
          <w:tcPr>
            <w:tcW w:w="63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13</w:t>
            </w:r>
          </w:p>
        </w:tc>
        <w:tc>
          <w:tcPr>
            <w:tcW w:w="71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504</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3</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2</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0.74</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84.0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113.2</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0.49</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rPr>
            </w:pPr>
            <w:r w:rsidRPr="00F415B8">
              <w:rPr>
                <w:rFonts w:ascii="Courier" w:hAnsi="Courier"/>
              </w:rPr>
              <w:t>1.07E+06</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szCs w:val="22"/>
              </w:rPr>
            </w:pPr>
            <w:r w:rsidRPr="00F415B8">
              <w:rPr>
                <w:rFonts w:ascii="Courier" w:hAnsi="Courier"/>
                <w:szCs w:val="22"/>
              </w:rPr>
              <w:t> </w:t>
            </w:r>
          </w:p>
        </w:tc>
      </w:tr>
      <w:tr w:rsidR="00404448" w:rsidRPr="00F415B8">
        <w:trPr>
          <w:trHeight w:val="260"/>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6.2</w:t>
            </w:r>
          </w:p>
        </w:tc>
        <w:tc>
          <w:tcPr>
            <w:tcW w:w="63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14</w:t>
            </w:r>
          </w:p>
        </w:tc>
        <w:tc>
          <w:tcPr>
            <w:tcW w:w="71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504</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3</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2</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0.79</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78.8</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99.9</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0.16</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rPr>
            </w:pPr>
            <w:r w:rsidRPr="00F415B8">
              <w:rPr>
                <w:rFonts w:ascii="Courier" w:hAnsi="Courier"/>
              </w:rPr>
              <w:t>1.02E+06</w:t>
            </w:r>
          </w:p>
        </w:tc>
        <w:tc>
          <w:tcPr>
            <w:tcW w:w="877" w:type="dxa"/>
            <w:tcBorders>
              <w:top w:val="single" w:sz="4" w:space="0" w:color="auto"/>
              <w:left w:val="single" w:sz="4" w:space="0" w:color="auto"/>
              <w:bottom w:val="single" w:sz="4" w:space="0" w:color="auto"/>
              <w:right w:val="single" w:sz="4" w:space="0" w:color="auto"/>
            </w:tcBorders>
            <w:shd w:val="clear" w:color="auto" w:fill="FFFF99"/>
            <w:noWrap/>
            <w:vAlign w:val="bottom"/>
          </w:tcPr>
          <w:p w:rsidR="00404448" w:rsidRPr="00F415B8" w:rsidRDefault="00404448" w:rsidP="00404448">
            <w:pPr>
              <w:spacing w:after="0"/>
              <w:rPr>
                <w:rFonts w:ascii="Courier" w:hAnsi="Courier"/>
                <w:szCs w:val="22"/>
              </w:rPr>
            </w:pPr>
            <w:r w:rsidRPr="00F415B8">
              <w:rPr>
                <w:rFonts w:ascii="Courier" w:hAnsi="Courier"/>
                <w:szCs w:val="22"/>
              </w:rPr>
              <w:t> </w:t>
            </w:r>
          </w:p>
        </w:tc>
      </w:tr>
      <w:tr w:rsidR="00404448" w:rsidRPr="00F415B8">
        <w:trPr>
          <w:trHeight w:val="260"/>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6.3</w:t>
            </w:r>
          </w:p>
        </w:tc>
        <w:tc>
          <w:tcPr>
            <w:tcW w:w="63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15</w:t>
            </w:r>
          </w:p>
        </w:tc>
        <w:tc>
          <w:tcPr>
            <w:tcW w:w="71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504</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3</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2</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0.77</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83.1</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108.1</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0.17</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rPr>
            </w:pPr>
            <w:r w:rsidRPr="00F415B8">
              <w:rPr>
                <w:rFonts w:ascii="Courier" w:hAnsi="Courier"/>
              </w:rPr>
              <w:t>1.08E+06</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szCs w:val="22"/>
              </w:rPr>
            </w:pPr>
            <w:r w:rsidRPr="00F415B8">
              <w:rPr>
                <w:rFonts w:ascii="Courier" w:hAnsi="Courier"/>
                <w:szCs w:val="22"/>
              </w:rPr>
              <w:t> </w:t>
            </w:r>
          </w:p>
        </w:tc>
      </w:tr>
      <w:tr w:rsidR="00404448" w:rsidRPr="00F415B8">
        <w:trPr>
          <w:trHeight w:val="260"/>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6.4</w:t>
            </w:r>
          </w:p>
        </w:tc>
        <w:tc>
          <w:tcPr>
            <w:tcW w:w="63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16</w:t>
            </w:r>
          </w:p>
        </w:tc>
        <w:tc>
          <w:tcPr>
            <w:tcW w:w="71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504</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3</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2</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0.73</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81.8</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111.8</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0.59</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rPr>
            </w:pPr>
            <w:r w:rsidRPr="00F415B8">
              <w:rPr>
                <w:rFonts w:ascii="Courier" w:hAnsi="Courier"/>
              </w:rPr>
              <w:t>1.05E+06</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szCs w:val="22"/>
              </w:rPr>
            </w:pPr>
            <w:r w:rsidRPr="00F415B8">
              <w:rPr>
                <w:rFonts w:ascii="Courier" w:hAnsi="Courier"/>
                <w:szCs w:val="22"/>
              </w:rPr>
              <w:t> </w:t>
            </w:r>
          </w:p>
        </w:tc>
      </w:tr>
      <w:tr w:rsidR="00404448" w:rsidRPr="00F415B8">
        <w:trPr>
          <w:trHeight w:val="260"/>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7.1</w:t>
            </w:r>
          </w:p>
        </w:tc>
        <w:tc>
          <w:tcPr>
            <w:tcW w:w="63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17</w:t>
            </w:r>
          </w:p>
        </w:tc>
        <w:tc>
          <w:tcPr>
            <w:tcW w:w="71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503</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2</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0.76</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85.4</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111.7</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0.40</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rPr>
            </w:pPr>
            <w:r w:rsidRPr="00F415B8">
              <w:rPr>
                <w:rFonts w:ascii="Courier" w:hAnsi="Courier"/>
              </w:rPr>
              <w:t>1.02E+06</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szCs w:val="22"/>
              </w:rPr>
            </w:pPr>
            <w:r w:rsidRPr="00F415B8">
              <w:rPr>
                <w:rFonts w:ascii="Courier" w:hAnsi="Courier"/>
                <w:szCs w:val="22"/>
              </w:rPr>
              <w:t> </w:t>
            </w:r>
          </w:p>
        </w:tc>
      </w:tr>
      <w:tr w:rsidR="00404448" w:rsidRPr="00F415B8">
        <w:trPr>
          <w:trHeight w:val="260"/>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7.2</w:t>
            </w:r>
          </w:p>
        </w:tc>
        <w:tc>
          <w:tcPr>
            <w:tcW w:w="63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18</w:t>
            </w:r>
          </w:p>
        </w:tc>
        <w:tc>
          <w:tcPr>
            <w:tcW w:w="71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503</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2</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0.73</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81.0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111.0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0.17</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rPr>
            </w:pPr>
            <w:r w:rsidRPr="00F415B8">
              <w:rPr>
                <w:rFonts w:ascii="Courier" w:hAnsi="Courier"/>
              </w:rPr>
              <w:t>1.04E+06</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szCs w:val="22"/>
              </w:rPr>
            </w:pPr>
            <w:r w:rsidRPr="00F415B8">
              <w:rPr>
                <w:rFonts w:ascii="Courier" w:hAnsi="Courier"/>
                <w:szCs w:val="22"/>
              </w:rPr>
              <w:t> </w:t>
            </w:r>
          </w:p>
        </w:tc>
      </w:tr>
      <w:tr w:rsidR="00404448" w:rsidRPr="00F415B8">
        <w:trPr>
          <w:trHeight w:val="260"/>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7.3</w:t>
            </w:r>
          </w:p>
        </w:tc>
        <w:tc>
          <w:tcPr>
            <w:tcW w:w="63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19</w:t>
            </w:r>
          </w:p>
        </w:tc>
        <w:tc>
          <w:tcPr>
            <w:tcW w:w="71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503</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2</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0.77</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85.9</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111.1</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0.15</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rPr>
            </w:pPr>
            <w:r w:rsidRPr="00F415B8">
              <w:rPr>
                <w:rFonts w:ascii="Courier" w:hAnsi="Courier"/>
              </w:rPr>
              <w:t>1.02E+06</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szCs w:val="22"/>
              </w:rPr>
            </w:pPr>
            <w:r w:rsidRPr="00F415B8">
              <w:rPr>
                <w:rFonts w:ascii="Courier" w:hAnsi="Courier"/>
                <w:szCs w:val="22"/>
              </w:rPr>
              <w:t> </w:t>
            </w:r>
          </w:p>
        </w:tc>
      </w:tr>
      <w:tr w:rsidR="00404448" w:rsidRPr="00F415B8">
        <w:trPr>
          <w:trHeight w:val="260"/>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7.4</w:t>
            </w:r>
          </w:p>
        </w:tc>
        <w:tc>
          <w:tcPr>
            <w:tcW w:w="63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20</w:t>
            </w:r>
          </w:p>
        </w:tc>
        <w:tc>
          <w:tcPr>
            <w:tcW w:w="71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503</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2</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0.78</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85.6</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110.1</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0.46</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rPr>
            </w:pPr>
            <w:r w:rsidRPr="00F415B8">
              <w:rPr>
                <w:rFonts w:ascii="Courier" w:hAnsi="Courier"/>
              </w:rPr>
              <w:t>1.03E+06</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szCs w:val="22"/>
              </w:rPr>
            </w:pPr>
            <w:r w:rsidRPr="00F415B8">
              <w:rPr>
                <w:rFonts w:ascii="Courier" w:hAnsi="Courier"/>
                <w:szCs w:val="22"/>
              </w:rPr>
              <w:t> </w:t>
            </w:r>
          </w:p>
        </w:tc>
      </w:tr>
      <w:tr w:rsidR="00404448" w:rsidRPr="00F415B8">
        <w:trPr>
          <w:trHeight w:val="260"/>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8.1</w:t>
            </w:r>
          </w:p>
        </w:tc>
        <w:tc>
          <w:tcPr>
            <w:tcW w:w="63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21</w:t>
            </w:r>
          </w:p>
        </w:tc>
        <w:tc>
          <w:tcPr>
            <w:tcW w:w="71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502</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2</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2</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0.72</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80.2</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111.9</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0.31</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rPr>
            </w:pPr>
            <w:r w:rsidRPr="00F415B8">
              <w:rPr>
                <w:rFonts w:ascii="Courier" w:hAnsi="Courier"/>
              </w:rPr>
              <w:t>1.07E+06</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szCs w:val="22"/>
              </w:rPr>
            </w:pPr>
            <w:r w:rsidRPr="00F415B8">
              <w:rPr>
                <w:rFonts w:ascii="Courier" w:hAnsi="Courier"/>
                <w:szCs w:val="22"/>
              </w:rPr>
              <w:t> </w:t>
            </w:r>
          </w:p>
        </w:tc>
      </w:tr>
      <w:tr w:rsidR="00404448" w:rsidRPr="00F415B8">
        <w:trPr>
          <w:trHeight w:val="260"/>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8.2</w:t>
            </w:r>
          </w:p>
        </w:tc>
        <w:tc>
          <w:tcPr>
            <w:tcW w:w="63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22</w:t>
            </w:r>
          </w:p>
        </w:tc>
        <w:tc>
          <w:tcPr>
            <w:tcW w:w="71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502</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2</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2</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0.91</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95.0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104.7</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0.07</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rPr>
            </w:pPr>
            <w:r w:rsidRPr="00F415B8">
              <w:rPr>
                <w:rFonts w:ascii="Courier" w:hAnsi="Courier"/>
              </w:rPr>
              <w:t>1.06E+06</w:t>
            </w:r>
          </w:p>
        </w:tc>
        <w:tc>
          <w:tcPr>
            <w:tcW w:w="877" w:type="dxa"/>
            <w:tcBorders>
              <w:top w:val="single" w:sz="4" w:space="0" w:color="auto"/>
              <w:left w:val="single" w:sz="4" w:space="0" w:color="auto"/>
              <w:bottom w:val="single" w:sz="4" w:space="0" w:color="auto"/>
              <w:right w:val="single" w:sz="4" w:space="0" w:color="auto"/>
            </w:tcBorders>
            <w:shd w:val="clear" w:color="auto" w:fill="FF0000"/>
            <w:noWrap/>
            <w:vAlign w:val="bottom"/>
          </w:tcPr>
          <w:p w:rsidR="00404448" w:rsidRPr="00F415B8" w:rsidRDefault="00404448" w:rsidP="00404448">
            <w:pPr>
              <w:spacing w:after="0"/>
              <w:rPr>
                <w:rFonts w:ascii="Courier" w:hAnsi="Courier"/>
                <w:szCs w:val="22"/>
              </w:rPr>
            </w:pPr>
            <w:r w:rsidRPr="00F415B8">
              <w:rPr>
                <w:rFonts w:ascii="Courier" w:hAnsi="Courier"/>
                <w:szCs w:val="22"/>
              </w:rPr>
              <w:t> </w:t>
            </w:r>
          </w:p>
        </w:tc>
      </w:tr>
      <w:tr w:rsidR="00404448" w:rsidRPr="00F415B8">
        <w:trPr>
          <w:trHeight w:val="260"/>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8.3</w:t>
            </w:r>
          </w:p>
        </w:tc>
        <w:tc>
          <w:tcPr>
            <w:tcW w:w="63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23</w:t>
            </w:r>
          </w:p>
        </w:tc>
        <w:tc>
          <w:tcPr>
            <w:tcW w:w="71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502</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2</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2</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0.75</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83.2</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111.4</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0.16</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rPr>
            </w:pPr>
            <w:r w:rsidRPr="00F415B8">
              <w:rPr>
                <w:rFonts w:ascii="Courier" w:hAnsi="Courier"/>
              </w:rPr>
              <w:t>1.02E+06</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szCs w:val="22"/>
              </w:rPr>
            </w:pPr>
            <w:r w:rsidRPr="00F415B8">
              <w:rPr>
                <w:rFonts w:ascii="Courier" w:hAnsi="Courier"/>
                <w:szCs w:val="22"/>
              </w:rPr>
              <w:t> </w:t>
            </w:r>
          </w:p>
        </w:tc>
      </w:tr>
      <w:tr w:rsidR="00404448" w:rsidRPr="00F415B8">
        <w:trPr>
          <w:trHeight w:val="260"/>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8.4</w:t>
            </w:r>
          </w:p>
        </w:tc>
        <w:tc>
          <w:tcPr>
            <w:tcW w:w="63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24</w:t>
            </w:r>
          </w:p>
        </w:tc>
        <w:tc>
          <w:tcPr>
            <w:tcW w:w="71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502</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2</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2</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0.77</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86.7</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112.8</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0.31</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rPr>
            </w:pPr>
            <w:r w:rsidRPr="00F415B8">
              <w:rPr>
                <w:rFonts w:ascii="Courier" w:hAnsi="Courier"/>
              </w:rPr>
              <w:t>1.05E+06</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szCs w:val="22"/>
              </w:rPr>
            </w:pPr>
            <w:r w:rsidRPr="00F415B8">
              <w:rPr>
                <w:rFonts w:ascii="Courier" w:hAnsi="Courier"/>
                <w:szCs w:val="22"/>
              </w:rPr>
              <w:t> </w:t>
            </w:r>
          </w:p>
        </w:tc>
      </w:tr>
      <w:tr w:rsidR="00404448" w:rsidRPr="00F415B8">
        <w:trPr>
          <w:trHeight w:val="260"/>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9.1</w:t>
            </w:r>
          </w:p>
        </w:tc>
        <w:tc>
          <w:tcPr>
            <w:tcW w:w="63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25</w:t>
            </w:r>
          </w:p>
        </w:tc>
        <w:tc>
          <w:tcPr>
            <w:tcW w:w="71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501</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4</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4</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0.79</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90.0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114.6</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0.04</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rPr>
            </w:pPr>
            <w:r w:rsidRPr="00F415B8">
              <w:rPr>
                <w:rFonts w:ascii="Courier" w:hAnsi="Courier"/>
              </w:rPr>
              <w:t>1.11E+06</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szCs w:val="22"/>
              </w:rPr>
            </w:pPr>
            <w:r w:rsidRPr="00F415B8">
              <w:rPr>
                <w:rFonts w:ascii="Courier" w:hAnsi="Courier"/>
                <w:szCs w:val="22"/>
              </w:rPr>
              <w:t> </w:t>
            </w:r>
          </w:p>
        </w:tc>
      </w:tr>
      <w:tr w:rsidR="00404448" w:rsidRPr="00F415B8">
        <w:trPr>
          <w:trHeight w:val="260"/>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9.2</w:t>
            </w:r>
          </w:p>
        </w:tc>
        <w:tc>
          <w:tcPr>
            <w:tcW w:w="63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26</w:t>
            </w:r>
          </w:p>
        </w:tc>
        <w:tc>
          <w:tcPr>
            <w:tcW w:w="71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501</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4</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4</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1.03</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116.4</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113.4</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0.31</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rPr>
            </w:pPr>
            <w:r w:rsidRPr="00F415B8">
              <w:rPr>
                <w:rFonts w:ascii="Courier" w:hAnsi="Courier"/>
              </w:rPr>
              <w:t>1.13E+06</w:t>
            </w:r>
          </w:p>
        </w:tc>
        <w:tc>
          <w:tcPr>
            <w:tcW w:w="877" w:type="dxa"/>
            <w:tcBorders>
              <w:top w:val="single" w:sz="4" w:space="0" w:color="auto"/>
              <w:left w:val="single" w:sz="4" w:space="0" w:color="auto"/>
              <w:bottom w:val="single" w:sz="4" w:space="0" w:color="auto"/>
              <w:right w:val="single" w:sz="4" w:space="0" w:color="auto"/>
            </w:tcBorders>
            <w:shd w:val="clear" w:color="auto" w:fill="FF0000"/>
            <w:noWrap/>
            <w:vAlign w:val="bottom"/>
          </w:tcPr>
          <w:p w:rsidR="00404448" w:rsidRPr="00F415B8" w:rsidRDefault="00404448" w:rsidP="00404448">
            <w:pPr>
              <w:spacing w:after="0"/>
              <w:rPr>
                <w:rFonts w:ascii="Courier" w:hAnsi="Courier"/>
                <w:szCs w:val="22"/>
              </w:rPr>
            </w:pPr>
            <w:r w:rsidRPr="00F415B8">
              <w:rPr>
                <w:rFonts w:ascii="Courier" w:hAnsi="Courier"/>
                <w:szCs w:val="22"/>
              </w:rPr>
              <w:t> </w:t>
            </w:r>
          </w:p>
        </w:tc>
      </w:tr>
      <w:tr w:rsidR="00404448" w:rsidRPr="00F415B8">
        <w:trPr>
          <w:trHeight w:val="260"/>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9.3</w:t>
            </w:r>
          </w:p>
        </w:tc>
        <w:tc>
          <w:tcPr>
            <w:tcW w:w="63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27</w:t>
            </w:r>
          </w:p>
        </w:tc>
        <w:tc>
          <w:tcPr>
            <w:tcW w:w="71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501</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4</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4</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0.79</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89.3</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112.4</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0.23</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rPr>
            </w:pPr>
            <w:r w:rsidRPr="00F415B8">
              <w:rPr>
                <w:rFonts w:ascii="Courier" w:hAnsi="Courier"/>
              </w:rPr>
              <w:t>1.09E+06</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szCs w:val="22"/>
              </w:rPr>
            </w:pPr>
            <w:r w:rsidRPr="00F415B8">
              <w:rPr>
                <w:rFonts w:ascii="Courier" w:hAnsi="Courier"/>
                <w:szCs w:val="22"/>
              </w:rPr>
              <w:t> </w:t>
            </w:r>
          </w:p>
        </w:tc>
      </w:tr>
      <w:tr w:rsidR="00404448" w:rsidRPr="00F415B8">
        <w:trPr>
          <w:trHeight w:val="260"/>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9.4</w:t>
            </w:r>
          </w:p>
        </w:tc>
        <w:tc>
          <w:tcPr>
            <w:tcW w:w="63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28</w:t>
            </w:r>
          </w:p>
        </w:tc>
        <w:tc>
          <w:tcPr>
            <w:tcW w:w="71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501</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4</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4</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0.72</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82.5</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113.8</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0.52</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rPr>
            </w:pPr>
            <w:r w:rsidRPr="00F415B8">
              <w:rPr>
                <w:rFonts w:ascii="Courier" w:hAnsi="Courier"/>
              </w:rPr>
              <w:t>1.05E+06</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szCs w:val="22"/>
              </w:rPr>
            </w:pPr>
            <w:r w:rsidRPr="00F415B8">
              <w:rPr>
                <w:rFonts w:ascii="Courier" w:hAnsi="Courier"/>
                <w:szCs w:val="22"/>
              </w:rPr>
              <w:t> </w:t>
            </w:r>
          </w:p>
        </w:tc>
      </w:tr>
      <w:tr w:rsidR="00404448" w:rsidRPr="00F415B8">
        <w:trPr>
          <w:trHeight w:val="260"/>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10.1</w:t>
            </w:r>
          </w:p>
        </w:tc>
        <w:tc>
          <w:tcPr>
            <w:tcW w:w="63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29</w:t>
            </w:r>
          </w:p>
        </w:tc>
        <w:tc>
          <w:tcPr>
            <w:tcW w:w="71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500</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4</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0.72</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80.7</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112.3</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0.41</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rPr>
            </w:pPr>
            <w:r w:rsidRPr="00F415B8">
              <w:rPr>
                <w:rFonts w:ascii="Courier" w:hAnsi="Courier"/>
              </w:rPr>
              <w:t>1.13E+06</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szCs w:val="22"/>
              </w:rPr>
            </w:pPr>
            <w:r w:rsidRPr="00F415B8">
              <w:rPr>
                <w:rFonts w:ascii="Courier" w:hAnsi="Courier"/>
                <w:szCs w:val="22"/>
              </w:rPr>
              <w:t> </w:t>
            </w:r>
          </w:p>
        </w:tc>
      </w:tr>
      <w:tr w:rsidR="00404448" w:rsidRPr="00F415B8">
        <w:trPr>
          <w:trHeight w:val="260"/>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10.2</w:t>
            </w:r>
          </w:p>
        </w:tc>
        <w:tc>
          <w:tcPr>
            <w:tcW w:w="63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30</w:t>
            </w:r>
          </w:p>
        </w:tc>
        <w:tc>
          <w:tcPr>
            <w:tcW w:w="71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500</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4</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0.94</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99.5</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105.7</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0.20</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rPr>
            </w:pPr>
            <w:r w:rsidRPr="00F415B8">
              <w:rPr>
                <w:rFonts w:ascii="Courier" w:hAnsi="Courier"/>
              </w:rPr>
              <w:t>1.15E+06</w:t>
            </w:r>
          </w:p>
        </w:tc>
        <w:tc>
          <w:tcPr>
            <w:tcW w:w="877" w:type="dxa"/>
            <w:tcBorders>
              <w:top w:val="single" w:sz="4" w:space="0" w:color="auto"/>
              <w:left w:val="single" w:sz="4" w:space="0" w:color="auto"/>
              <w:bottom w:val="single" w:sz="4" w:space="0" w:color="auto"/>
              <w:right w:val="single" w:sz="4" w:space="0" w:color="auto"/>
            </w:tcBorders>
            <w:shd w:val="clear" w:color="auto" w:fill="FFFF99"/>
            <w:noWrap/>
            <w:vAlign w:val="bottom"/>
          </w:tcPr>
          <w:p w:rsidR="00404448" w:rsidRPr="00F415B8" w:rsidRDefault="00404448" w:rsidP="00404448">
            <w:pPr>
              <w:spacing w:after="0"/>
              <w:rPr>
                <w:rFonts w:ascii="Courier" w:hAnsi="Courier"/>
                <w:szCs w:val="22"/>
              </w:rPr>
            </w:pPr>
            <w:r w:rsidRPr="00F415B8">
              <w:rPr>
                <w:rFonts w:ascii="Courier" w:hAnsi="Courier"/>
                <w:szCs w:val="22"/>
              </w:rPr>
              <w:t> </w:t>
            </w:r>
          </w:p>
        </w:tc>
      </w:tr>
      <w:tr w:rsidR="00404448" w:rsidRPr="00F415B8">
        <w:trPr>
          <w:trHeight w:val="260"/>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10.3</w:t>
            </w:r>
          </w:p>
        </w:tc>
        <w:tc>
          <w:tcPr>
            <w:tcW w:w="63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31</w:t>
            </w:r>
          </w:p>
        </w:tc>
        <w:tc>
          <w:tcPr>
            <w:tcW w:w="71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500</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4</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0.72</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83.0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115.5</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0.33</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rPr>
            </w:pPr>
            <w:r w:rsidRPr="00F415B8">
              <w:rPr>
                <w:rFonts w:ascii="Courier" w:hAnsi="Courier"/>
              </w:rPr>
              <w:t>1.10E+06</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szCs w:val="22"/>
              </w:rPr>
            </w:pPr>
            <w:r w:rsidRPr="00F415B8">
              <w:rPr>
                <w:rFonts w:ascii="Courier" w:hAnsi="Courier"/>
                <w:szCs w:val="22"/>
              </w:rPr>
              <w:t> </w:t>
            </w:r>
          </w:p>
        </w:tc>
      </w:tr>
      <w:tr w:rsidR="00404448" w:rsidRPr="00F415B8">
        <w:trPr>
          <w:trHeight w:val="260"/>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10.4</w:t>
            </w:r>
          </w:p>
        </w:tc>
        <w:tc>
          <w:tcPr>
            <w:tcW w:w="63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32</w:t>
            </w:r>
          </w:p>
        </w:tc>
        <w:tc>
          <w:tcPr>
            <w:tcW w:w="71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500</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4</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0.73</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84.6</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115.5</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0.66</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rPr>
            </w:pPr>
            <w:r w:rsidRPr="00F415B8">
              <w:rPr>
                <w:rFonts w:ascii="Courier" w:hAnsi="Courier"/>
              </w:rPr>
              <w:t>1.14E+06</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szCs w:val="22"/>
              </w:rPr>
            </w:pPr>
            <w:r w:rsidRPr="00F415B8">
              <w:rPr>
                <w:rFonts w:ascii="Courier" w:hAnsi="Courier"/>
                <w:szCs w:val="22"/>
              </w:rPr>
              <w:t> </w:t>
            </w:r>
          </w:p>
        </w:tc>
      </w:tr>
      <w:tr w:rsidR="00404448" w:rsidRPr="00F415B8">
        <w:trPr>
          <w:trHeight w:val="260"/>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11.1</w:t>
            </w:r>
          </w:p>
        </w:tc>
        <w:tc>
          <w:tcPr>
            <w:tcW w:w="63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33</w:t>
            </w:r>
          </w:p>
        </w:tc>
        <w:tc>
          <w:tcPr>
            <w:tcW w:w="71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504</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4</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3</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0.73</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84.3</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115.0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0.51</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rPr>
            </w:pPr>
            <w:r w:rsidRPr="00F415B8">
              <w:rPr>
                <w:rFonts w:ascii="Courier" w:hAnsi="Courier"/>
              </w:rPr>
              <w:t>1.05E+06</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szCs w:val="22"/>
              </w:rPr>
            </w:pPr>
            <w:r w:rsidRPr="00F415B8">
              <w:rPr>
                <w:rFonts w:ascii="Courier" w:hAnsi="Courier"/>
                <w:szCs w:val="22"/>
              </w:rPr>
              <w:t> </w:t>
            </w:r>
          </w:p>
        </w:tc>
      </w:tr>
      <w:tr w:rsidR="00404448" w:rsidRPr="00F415B8">
        <w:trPr>
          <w:trHeight w:val="260"/>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11.2</w:t>
            </w:r>
          </w:p>
        </w:tc>
        <w:tc>
          <w:tcPr>
            <w:tcW w:w="63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34</w:t>
            </w:r>
          </w:p>
        </w:tc>
        <w:tc>
          <w:tcPr>
            <w:tcW w:w="71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504</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4</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3</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0.76</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88.1</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115.6</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0.24</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rPr>
            </w:pPr>
            <w:r w:rsidRPr="00F415B8">
              <w:rPr>
                <w:rFonts w:ascii="Courier" w:hAnsi="Courier"/>
              </w:rPr>
              <w:t>1.02E+06</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szCs w:val="22"/>
              </w:rPr>
            </w:pPr>
            <w:r w:rsidRPr="00F415B8">
              <w:rPr>
                <w:rFonts w:ascii="Courier" w:hAnsi="Courier"/>
                <w:szCs w:val="22"/>
              </w:rPr>
              <w:t> </w:t>
            </w:r>
          </w:p>
        </w:tc>
      </w:tr>
      <w:tr w:rsidR="00404448" w:rsidRPr="00F415B8">
        <w:trPr>
          <w:trHeight w:val="260"/>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11.3</w:t>
            </w:r>
          </w:p>
        </w:tc>
        <w:tc>
          <w:tcPr>
            <w:tcW w:w="63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35</w:t>
            </w:r>
          </w:p>
        </w:tc>
        <w:tc>
          <w:tcPr>
            <w:tcW w:w="71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504</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4</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3</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0.81</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92.5</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114.7</w:t>
            </w:r>
          </w:p>
        </w:tc>
        <w:tc>
          <w:tcPr>
            <w:tcW w:w="990" w:type="dxa"/>
            <w:tcBorders>
              <w:top w:val="single" w:sz="4" w:space="0" w:color="auto"/>
              <w:left w:val="single" w:sz="4" w:space="0" w:color="auto"/>
              <w:bottom w:val="single" w:sz="4" w:space="0" w:color="auto"/>
              <w:right w:val="single" w:sz="4" w:space="0" w:color="auto"/>
            </w:tcBorders>
            <w:shd w:val="clear" w:color="auto" w:fill="FFFF99"/>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1.90</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rPr>
            </w:pPr>
            <w:r w:rsidRPr="00F415B8">
              <w:rPr>
                <w:rFonts w:ascii="Courier" w:hAnsi="Courier"/>
              </w:rPr>
              <w:t>1.02E+06</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szCs w:val="22"/>
              </w:rPr>
            </w:pPr>
            <w:r w:rsidRPr="00F415B8">
              <w:rPr>
                <w:rFonts w:ascii="Courier" w:hAnsi="Courier"/>
                <w:szCs w:val="22"/>
              </w:rPr>
              <w:t> </w:t>
            </w:r>
          </w:p>
        </w:tc>
      </w:tr>
      <w:tr w:rsidR="00404448" w:rsidRPr="00F415B8">
        <w:trPr>
          <w:trHeight w:val="260"/>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11.4</w:t>
            </w:r>
          </w:p>
        </w:tc>
        <w:tc>
          <w:tcPr>
            <w:tcW w:w="63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36</w:t>
            </w:r>
          </w:p>
        </w:tc>
        <w:tc>
          <w:tcPr>
            <w:tcW w:w="71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504</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4</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3</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1.20</w:t>
            </w:r>
          </w:p>
        </w:tc>
        <w:tc>
          <w:tcPr>
            <w:tcW w:w="1149" w:type="dxa"/>
            <w:tcBorders>
              <w:top w:val="single" w:sz="4" w:space="0" w:color="auto"/>
              <w:left w:val="single" w:sz="4" w:space="0" w:color="auto"/>
              <w:bottom w:val="single" w:sz="4" w:space="0" w:color="auto"/>
              <w:right w:val="single" w:sz="4" w:space="0" w:color="auto"/>
            </w:tcBorders>
            <w:shd w:val="clear" w:color="auto" w:fill="FFFF99"/>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120.5</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100.2</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0.69</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rPr>
            </w:pPr>
            <w:r w:rsidRPr="00F415B8">
              <w:rPr>
                <w:rFonts w:ascii="Courier" w:hAnsi="Courier"/>
              </w:rPr>
              <w:t>1.07E+06</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szCs w:val="22"/>
              </w:rPr>
            </w:pPr>
            <w:r w:rsidRPr="00F415B8">
              <w:rPr>
                <w:rFonts w:ascii="Courier" w:hAnsi="Courier"/>
                <w:szCs w:val="22"/>
              </w:rPr>
              <w:t> </w:t>
            </w:r>
          </w:p>
        </w:tc>
      </w:tr>
      <w:tr w:rsidR="00404448" w:rsidRPr="00F415B8">
        <w:trPr>
          <w:trHeight w:val="260"/>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12.1</w:t>
            </w:r>
          </w:p>
        </w:tc>
        <w:tc>
          <w:tcPr>
            <w:tcW w:w="63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37</w:t>
            </w:r>
          </w:p>
        </w:tc>
        <w:tc>
          <w:tcPr>
            <w:tcW w:w="71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503</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3</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0.73</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79.5</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109.2</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0.12</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rPr>
            </w:pPr>
            <w:r w:rsidRPr="00F415B8">
              <w:rPr>
                <w:rFonts w:ascii="Courier" w:hAnsi="Courier"/>
              </w:rPr>
              <w:t>1.10E+06</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szCs w:val="22"/>
              </w:rPr>
            </w:pPr>
            <w:r w:rsidRPr="00F415B8">
              <w:rPr>
                <w:rFonts w:ascii="Courier" w:hAnsi="Courier"/>
                <w:szCs w:val="22"/>
              </w:rPr>
              <w:t> </w:t>
            </w:r>
          </w:p>
        </w:tc>
      </w:tr>
      <w:tr w:rsidR="00404448" w:rsidRPr="00F415B8">
        <w:trPr>
          <w:trHeight w:val="260"/>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12.2</w:t>
            </w:r>
          </w:p>
        </w:tc>
        <w:tc>
          <w:tcPr>
            <w:tcW w:w="63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38</w:t>
            </w:r>
          </w:p>
        </w:tc>
        <w:tc>
          <w:tcPr>
            <w:tcW w:w="71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503</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3</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0.76</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80.9</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107.1</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0.16</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rPr>
            </w:pPr>
            <w:r w:rsidRPr="00F415B8">
              <w:rPr>
                <w:rFonts w:ascii="Courier" w:hAnsi="Courier"/>
              </w:rPr>
              <w:t>1.05E+06</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szCs w:val="22"/>
              </w:rPr>
            </w:pPr>
            <w:r w:rsidRPr="00F415B8">
              <w:rPr>
                <w:rFonts w:ascii="Courier" w:hAnsi="Courier"/>
                <w:szCs w:val="22"/>
              </w:rPr>
              <w:t> </w:t>
            </w:r>
          </w:p>
        </w:tc>
      </w:tr>
      <w:tr w:rsidR="00404448" w:rsidRPr="00F415B8">
        <w:trPr>
          <w:trHeight w:val="260"/>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12.3</w:t>
            </w:r>
          </w:p>
        </w:tc>
        <w:tc>
          <w:tcPr>
            <w:tcW w:w="63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39</w:t>
            </w:r>
          </w:p>
        </w:tc>
        <w:tc>
          <w:tcPr>
            <w:tcW w:w="71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503</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3</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0.77</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87.5</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114.4</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0.14</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rPr>
            </w:pPr>
            <w:r w:rsidRPr="00F415B8">
              <w:rPr>
                <w:rFonts w:ascii="Courier" w:hAnsi="Courier"/>
              </w:rPr>
              <w:t>1.08E+06</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szCs w:val="22"/>
              </w:rPr>
            </w:pPr>
            <w:r w:rsidRPr="00F415B8">
              <w:rPr>
                <w:rFonts w:ascii="Courier" w:hAnsi="Courier"/>
                <w:szCs w:val="22"/>
              </w:rPr>
              <w:t> </w:t>
            </w:r>
          </w:p>
        </w:tc>
      </w:tr>
      <w:tr w:rsidR="00404448" w:rsidRPr="00F415B8">
        <w:trPr>
          <w:trHeight w:val="260"/>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12.4</w:t>
            </w:r>
          </w:p>
        </w:tc>
        <w:tc>
          <w:tcPr>
            <w:tcW w:w="63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40</w:t>
            </w:r>
          </w:p>
        </w:tc>
        <w:tc>
          <w:tcPr>
            <w:tcW w:w="71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503</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3</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1.14</w:t>
            </w:r>
          </w:p>
        </w:tc>
        <w:tc>
          <w:tcPr>
            <w:tcW w:w="1149" w:type="dxa"/>
            <w:tcBorders>
              <w:top w:val="single" w:sz="4" w:space="0" w:color="auto"/>
              <w:left w:val="single" w:sz="4" w:space="0" w:color="auto"/>
              <w:bottom w:val="single" w:sz="4" w:space="0" w:color="auto"/>
              <w:right w:val="single" w:sz="4" w:space="0" w:color="auto"/>
            </w:tcBorders>
            <w:shd w:val="clear" w:color="auto" w:fill="FFFF99"/>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121.1</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106.0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0.15</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rPr>
            </w:pPr>
            <w:r w:rsidRPr="00F415B8">
              <w:rPr>
                <w:rFonts w:ascii="Courier" w:hAnsi="Courier"/>
              </w:rPr>
              <w:t>1.10E+06</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szCs w:val="22"/>
              </w:rPr>
            </w:pPr>
            <w:r w:rsidRPr="00F415B8">
              <w:rPr>
                <w:rFonts w:ascii="Courier" w:hAnsi="Courier"/>
                <w:szCs w:val="22"/>
              </w:rPr>
              <w:t> </w:t>
            </w:r>
          </w:p>
        </w:tc>
      </w:tr>
      <w:tr w:rsidR="00404448" w:rsidRPr="00F415B8">
        <w:trPr>
          <w:trHeight w:val="260"/>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13.1</w:t>
            </w:r>
          </w:p>
        </w:tc>
        <w:tc>
          <w:tcPr>
            <w:tcW w:w="63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41</w:t>
            </w:r>
          </w:p>
        </w:tc>
        <w:tc>
          <w:tcPr>
            <w:tcW w:w="71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502</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3</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3</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0.73</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84.2</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115.8</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0.15</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rPr>
            </w:pPr>
            <w:r w:rsidRPr="00F415B8">
              <w:rPr>
                <w:rFonts w:ascii="Courier" w:hAnsi="Courier"/>
              </w:rPr>
              <w:t>1.12E+06</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szCs w:val="22"/>
              </w:rPr>
            </w:pPr>
            <w:r w:rsidRPr="00F415B8">
              <w:rPr>
                <w:rFonts w:ascii="Courier" w:hAnsi="Courier"/>
                <w:szCs w:val="22"/>
              </w:rPr>
              <w:t> </w:t>
            </w:r>
          </w:p>
        </w:tc>
      </w:tr>
      <w:tr w:rsidR="00404448" w:rsidRPr="00F415B8">
        <w:trPr>
          <w:trHeight w:val="260"/>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13.2</w:t>
            </w:r>
          </w:p>
        </w:tc>
        <w:tc>
          <w:tcPr>
            <w:tcW w:w="63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42</w:t>
            </w:r>
          </w:p>
        </w:tc>
        <w:tc>
          <w:tcPr>
            <w:tcW w:w="71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502</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3</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3</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0.74</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84.8</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114.7</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0.11</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rPr>
            </w:pPr>
            <w:r w:rsidRPr="00F415B8">
              <w:rPr>
                <w:rFonts w:ascii="Courier" w:hAnsi="Courier"/>
              </w:rPr>
              <w:t>1.13E+06</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szCs w:val="22"/>
              </w:rPr>
            </w:pPr>
            <w:r w:rsidRPr="00F415B8">
              <w:rPr>
                <w:rFonts w:ascii="Courier" w:hAnsi="Courier"/>
                <w:szCs w:val="22"/>
              </w:rPr>
              <w:t> </w:t>
            </w:r>
          </w:p>
        </w:tc>
      </w:tr>
      <w:tr w:rsidR="00404448" w:rsidRPr="00F415B8">
        <w:trPr>
          <w:trHeight w:val="260"/>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13.3</w:t>
            </w:r>
          </w:p>
        </w:tc>
        <w:tc>
          <w:tcPr>
            <w:tcW w:w="63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43</w:t>
            </w:r>
          </w:p>
        </w:tc>
        <w:tc>
          <w:tcPr>
            <w:tcW w:w="71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502</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3</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3</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0.75</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81.3</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109.1</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0.14</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rPr>
            </w:pPr>
            <w:r w:rsidRPr="00F415B8">
              <w:rPr>
                <w:rFonts w:ascii="Courier" w:hAnsi="Courier"/>
              </w:rPr>
              <w:t>1.04E+06</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szCs w:val="22"/>
              </w:rPr>
            </w:pPr>
            <w:r w:rsidRPr="00F415B8">
              <w:rPr>
                <w:rFonts w:ascii="Courier" w:hAnsi="Courier"/>
                <w:szCs w:val="22"/>
              </w:rPr>
              <w:t> </w:t>
            </w:r>
          </w:p>
        </w:tc>
      </w:tr>
      <w:tr w:rsidR="00404448" w:rsidRPr="00F415B8">
        <w:trPr>
          <w:trHeight w:val="260"/>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13.4</w:t>
            </w:r>
          </w:p>
        </w:tc>
        <w:tc>
          <w:tcPr>
            <w:tcW w:w="63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44</w:t>
            </w:r>
          </w:p>
        </w:tc>
        <w:tc>
          <w:tcPr>
            <w:tcW w:w="71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502</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3</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3</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1.27</w:t>
            </w:r>
          </w:p>
        </w:tc>
        <w:tc>
          <w:tcPr>
            <w:tcW w:w="1149" w:type="dxa"/>
            <w:tcBorders>
              <w:top w:val="single" w:sz="4" w:space="0" w:color="auto"/>
              <w:left w:val="single" w:sz="4" w:space="0" w:color="auto"/>
              <w:bottom w:val="single" w:sz="4" w:space="0" w:color="auto"/>
              <w:right w:val="single" w:sz="4" w:space="0" w:color="auto"/>
            </w:tcBorders>
            <w:shd w:val="clear" w:color="auto" w:fill="FFFF99"/>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126.9</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100.2</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0.45</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rPr>
            </w:pPr>
            <w:r w:rsidRPr="00F415B8">
              <w:rPr>
                <w:rFonts w:ascii="Courier" w:hAnsi="Courier"/>
              </w:rPr>
              <w:t>1.05E+06</w:t>
            </w:r>
          </w:p>
        </w:tc>
        <w:tc>
          <w:tcPr>
            <w:tcW w:w="877" w:type="dxa"/>
            <w:tcBorders>
              <w:top w:val="single" w:sz="4" w:space="0" w:color="auto"/>
              <w:left w:val="single" w:sz="4" w:space="0" w:color="auto"/>
              <w:bottom w:val="single" w:sz="4" w:space="0" w:color="auto"/>
              <w:right w:val="single" w:sz="4" w:space="0" w:color="auto"/>
            </w:tcBorders>
            <w:shd w:val="clear" w:color="auto" w:fill="FF0000"/>
            <w:noWrap/>
            <w:vAlign w:val="bottom"/>
          </w:tcPr>
          <w:p w:rsidR="00404448" w:rsidRPr="00F415B8" w:rsidRDefault="00404448" w:rsidP="00404448">
            <w:pPr>
              <w:spacing w:after="0"/>
              <w:rPr>
                <w:rFonts w:ascii="Courier" w:hAnsi="Courier"/>
                <w:szCs w:val="22"/>
              </w:rPr>
            </w:pPr>
            <w:r w:rsidRPr="00F415B8">
              <w:rPr>
                <w:rFonts w:ascii="Courier" w:hAnsi="Courier"/>
                <w:szCs w:val="22"/>
              </w:rPr>
              <w:t> </w:t>
            </w:r>
          </w:p>
        </w:tc>
      </w:tr>
      <w:tr w:rsidR="00404448" w:rsidRPr="00F415B8">
        <w:trPr>
          <w:trHeight w:val="260"/>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14.1</w:t>
            </w:r>
          </w:p>
        </w:tc>
        <w:tc>
          <w:tcPr>
            <w:tcW w:w="63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45</w:t>
            </w:r>
          </w:p>
        </w:tc>
        <w:tc>
          <w:tcPr>
            <w:tcW w:w="71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501</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3</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0.78</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88.2</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113.3</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0.24</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rPr>
            </w:pPr>
            <w:r w:rsidRPr="00F415B8">
              <w:rPr>
                <w:rFonts w:ascii="Courier" w:hAnsi="Courier"/>
              </w:rPr>
              <w:t>1.04E+06</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szCs w:val="22"/>
              </w:rPr>
            </w:pPr>
            <w:r w:rsidRPr="00F415B8">
              <w:rPr>
                <w:rFonts w:ascii="Courier" w:hAnsi="Courier"/>
                <w:szCs w:val="22"/>
              </w:rPr>
              <w:t> </w:t>
            </w:r>
          </w:p>
        </w:tc>
      </w:tr>
      <w:tr w:rsidR="00404448" w:rsidRPr="00F415B8">
        <w:trPr>
          <w:trHeight w:val="260"/>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14.2</w:t>
            </w:r>
          </w:p>
        </w:tc>
        <w:tc>
          <w:tcPr>
            <w:tcW w:w="63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46</w:t>
            </w:r>
          </w:p>
        </w:tc>
        <w:tc>
          <w:tcPr>
            <w:tcW w:w="71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501</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3</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0.75</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85.5</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114.0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0.18</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rPr>
            </w:pPr>
            <w:r w:rsidRPr="00F415B8">
              <w:rPr>
                <w:rFonts w:ascii="Courier" w:hAnsi="Courier"/>
              </w:rPr>
              <w:t>1.02E+06</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szCs w:val="22"/>
              </w:rPr>
            </w:pPr>
            <w:r w:rsidRPr="00F415B8">
              <w:rPr>
                <w:rFonts w:ascii="Courier" w:hAnsi="Courier"/>
                <w:szCs w:val="22"/>
              </w:rPr>
              <w:t> </w:t>
            </w:r>
          </w:p>
        </w:tc>
      </w:tr>
      <w:tr w:rsidR="00404448" w:rsidRPr="00F415B8">
        <w:trPr>
          <w:trHeight w:val="260"/>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14.3</w:t>
            </w:r>
          </w:p>
        </w:tc>
        <w:tc>
          <w:tcPr>
            <w:tcW w:w="63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47</w:t>
            </w:r>
          </w:p>
        </w:tc>
        <w:tc>
          <w:tcPr>
            <w:tcW w:w="71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501</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3</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0.80</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90.4</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112.8</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0.13</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rPr>
            </w:pPr>
            <w:r w:rsidRPr="00F415B8">
              <w:rPr>
                <w:rFonts w:ascii="Courier" w:hAnsi="Courier"/>
              </w:rPr>
              <w:t>1.08E+06</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szCs w:val="22"/>
              </w:rPr>
            </w:pPr>
            <w:r w:rsidRPr="00F415B8">
              <w:rPr>
                <w:rFonts w:ascii="Courier" w:hAnsi="Courier"/>
                <w:szCs w:val="22"/>
              </w:rPr>
              <w:t> </w:t>
            </w:r>
          </w:p>
        </w:tc>
      </w:tr>
      <w:tr w:rsidR="00404448" w:rsidRPr="00F415B8">
        <w:trPr>
          <w:trHeight w:val="260"/>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14.4</w:t>
            </w:r>
          </w:p>
        </w:tc>
        <w:tc>
          <w:tcPr>
            <w:tcW w:w="63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48</w:t>
            </w:r>
          </w:p>
        </w:tc>
        <w:tc>
          <w:tcPr>
            <w:tcW w:w="71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501</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3</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1.06</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112.0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105.3</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0.29</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rPr>
            </w:pPr>
            <w:r w:rsidRPr="00F415B8">
              <w:rPr>
                <w:rFonts w:ascii="Courier" w:hAnsi="Courier"/>
              </w:rPr>
              <w:t>1.04E+06</w:t>
            </w:r>
          </w:p>
        </w:tc>
        <w:tc>
          <w:tcPr>
            <w:tcW w:w="877" w:type="dxa"/>
            <w:tcBorders>
              <w:top w:val="single" w:sz="4" w:space="0" w:color="auto"/>
              <w:left w:val="single" w:sz="4" w:space="0" w:color="auto"/>
              <w:bottom w:val="single" w:sz="4" w:space="0" w:color="auto"/>
              <w:right w:val="single" w:sz="4" w:space="0" w:color="auto"/>
            </w:tcBorders>
            <w:shd w:val="clear" w:color="auto" w:fill="FFFF99"/>
            <w:noWrap/>
            <w:vAlign w:val="bottom"/>
          </w:tcPr>
          <w:p w:rsidR="00404448" w:rsidRPr="00F415B8" w:rsidRDefault="00404448" w:rsidP="00404448">
            <w:pPr>
              <w:spacing w:after="0"/>
              <w:rPr>
                <w:rFonts w:ascii="Courier" w:hAnsi="Courier"/>
                <w:szCs w:val="22"/>
              </w:rPr>
            </w:pPr>
            <w:r w:rsidRPr="00F415B8">
              <w:rPr>
                <w:rFonts w:ascii="Courier" w:hAnsi="Courier"/>
                <w:szCs w:val="22"/>
              </w:rPr>
              <w:t> </w:t>
            </w:r>
          </w:p>
        </w:tc>
      </w:tr>
      <w:tr w:rsidR="00404448" w:rsidRPr="00F415B8">
        <w:trPr>
          <w:trHeight w:val="260"/>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15.1</w:t>
            </w:r>
          </w:p>
        </w:tc>
        <w:tc>
          <w:tcPr>
            <w:tcW w:w="63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49</w:t>
            </w:r>
          </w:p>
        </w:tc>
        <w:tc>
          <w:tcPr>
            <w:tcW w:w="71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500</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2</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3</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0.75</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85.7</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113.8</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0.06</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rPr>
            </w:pPr>
            <w:r w:rsidRPr="00F415B8">
              <w:rPr>
                <w:rFonts w:ascii="Courier" w:hAnsi="Courier"/>
              </w:rPr>
              <w:t>1.12E+06</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szCs w:val="22"/>
              </w:rPr>
            </w:pPr>
            <w:r w:rsidRPr="00F415B8">
              <w:rPr>
                <w:rFonts w:ascii="Courier" w:hAnsi="Courier"/>
                <w:szCs w:val="22"/>
              </w:rPr>
              <w:t> </w:t>
            </w:r>
          </w:p>
        </w:tc>
      </w:tr>
      <w:tr w:rsidR="00404448" w:rsidRPr="00F415B8">
        <w:trPr>
          <w:trHeight w:val="260"/>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15.2</w:t>
            </w:r>
          </w:p>
        </w:tc>
        <w:tc>
          <w:tcPr>
            <w:tcW w:w="63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50</w:t>
            </w:r>
          </w:p>
        </w:tc>
        <w:tc>
          <w:tcPr>
            <w:tcW w:w="71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500</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2</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3</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0.74</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83.0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112.8</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0.20</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rPr>
            </w:pPr>
            <w:r w:rsidRPr="00F415B8">
              <w:rPr>
                <w:rFonts w:ascii="Courier" w:hAnsi="Courier"/>
              </w:rPr>
              <w:t>1.15E+06</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szCs w:val="22"/>
              </w:rPr>
            </w:pPr>
            <w:r w:rsidRPr="00F415B8">
              <w:rPr>
                <w:rFonts w:ascii="Courier" w:hAnsi="Courier"/>
                <w:szCs w:val="22"/>
              </w:rPr>
              <w:t> </w:t>
            </w:r>
          </w:p>
        </w:tc>
      </w:tr>
      <w:tr w:rsidR="00404448" w:rsidRPr="00F415B8">
        <w:trPr>
          <w:trHeight w:val="260"/>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15.3</w:t>
            </w:r>
          </w:p>
        </w:tc>
        <w:tc>
          <w:tcPr>
            <w:tcW w:w="63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51</w:t>
            </w:r>
          </w:p>
        </w:tc>
        <w:tc>
          <w:tcPr>
            <w:tcW w:w="71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500</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2</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3</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0.75</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81.5</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109.3</w:t>
            </w:r>
          </w:p>
        </w:tc>
        <w:tc>
          <w:tcPr>
            <w:tcW w:w="990" w:type="dxa"/>
            <w:tcBorders>
              <w:top w:val="single" w:sz="4" w:space="0" w:color="auto"/>
              <w:left w:val="single" w:sz="4" w:space="0" w:color="auto"/>
              <w:bottom w:val="single" w:sz="4" w:space="0" w:color="auto"/>
              <w:right w:val="single" w:sz="4" w:space="0" w:color="auto"/>
            </w:tcBorders>
            <w:shd w:val="clear" w:color="auto" w:fill="FFFF99"/>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1.73</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rPr>
            </w:pPr>
            <w:r w:rsidRPr="00F415B8">
              <w:rPr>
                <w:rFonts w:ascii="Courier" w:hAnsi="Courier"/>
              </w:rPr>
              <w:t>1.08E+06</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szCs w:val="22"/>
              </w:rPr>
            </w:pPr>
            <w:r w:rsidRPr="00F415B8">
              <w:rPr>
                <w:rFonts w:ascii="Courier" w:hAnsi="Courier"/>
                <w:szCs w:val="22"/>
              </w:rPr>
              <w:t> </w:t>
            </w:r>
          </w:p>
        </w:tc>
      </w:tr>
      <w:tr w:rsidR="00404448" w:rsidRPr="00F415B8">
        <w:trPr>
          <w:trHeight w:val="260"/>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15.4</w:t>
            </w:r>
          </w:p>
        </w:tc>
        <w:tc>
          <w:tcPr>
            <w:tcW w:w="63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52</w:t>
            </w:r>
          </w:p>
        </w:tc>
        <w:tc>
          <w:tcPr>
            <w:tcW w:w="71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500</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2</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3</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0.97</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103.8</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106.7</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0.33</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rPr>
            </w:pPr>
            <w:r w:rsidRPr="00F415B8">
              <w:rPr>
                <w:rFonts w:ascii="Courier" w:hAnsi="Courier"/>
              </w:rPr>
              <w:t>1.05E+06</w:t>
            </w:r>
          </w:p>
        </w:tc>
        <w:tc>
          <w:tcPr>
            <w:tcW w:w="877" w:type="dxa"/>
            <w:tcBorders>
              <w:top w:val="single" w:sz="4" w:space="0" w:color="auto"/>
              <w:left w:val="single" w:sz="4" w:space="0" w:color="auto"/>
              <w:bottom w:val="single" w:sz="4" w:space="0" w:color="auto"/>
              <w:right w:val="single" w:sz="4" w:space="0" w:color="auto"/>
            </w:tcBorders>
            <w:shd w:val="clear" w:color="auto" w:fill="FFFF99"/>
            <w:noWrap/>
            <w:vAlign w:val="bottom"/>
          </w:tcPr>
          <w:p w:rsidR="00404448" w:rsidRPr="00F415B8" w:rsidRDefault="00404448" w:rsidP="00404448">
            <w:pPr>
              <w:spacing w:after="0"/>
              <w:rPr>
                <w:rFonts w:ascii="Courier" w:hAnsi="Courier"/>
                <w:szCs w:val="22"/>
              </w:rPr>
            </w:pPr>
            <w:r w:rsidRPr="00F415B8">
              <w:rPr>
                <w:rFonts w:ascii="Courier" w:hAnsi="Courier"/>
                <w:szCs w:val="22"/>
              </w:rPr>
              <w:t> </w:t>
            </w:r>
          </w:p>
        </w:tc>
      </w:tr>
      <w:tr w:rsidR="00404448" w:rsidRPr="00F415B8">
        <w:trPr>
          <w:trHeight w:val="260"/>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16.1</w:t>
            </w:r>
          </w:p>
        </w:tc>
        <w:tc>
          <w:tcPr>
            <w:tcW w:w="63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53</w:t>
            </w:r>
          </w:p>
        </w:tc>
        <w:tc>
          <w:tcPr>
            <w:tcW w:w="71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504</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4</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0.73</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87.4</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120.0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0.39</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rPr>
            </w:pPr>
            <w:r w:rsidRPr="00F415B8">
              <w:rPr>
                <w:rFonts w:ascii="Courier" w:hAnsi="Courier"/>
              </w:rPr>
              <w:t>1.11E+06</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szCs w:val="22"/>
              </w:rPr>
            </w:pPr>
            <w:r w:rsidRPr="00F415B8">
              <w:rPr>
                <w:rFonts w:ascii="Courier" w:hAnsi="Courier"/>
                <w:szCs w:val="22"/>
              </w:rPr>
              <w:t> </w:t>
            </w:r>
          </w:p>
        </w:tc>
      </w:tr>
      <w:tr w:rsidR="00404448" w:rsidRPr="00F415B8">
        <w:trPr>
          <w:trHeight w:val="260"/>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16.2</w:t>
            </w:r>
          </w:p>
        </w:tc>
        <w:tc>
          <w:tcPr>
            <w:tcW w:w="63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54</w:t>
            </w:r>
          </w:p>
        </w:tc>
        <w:tc>
          <w:tcPr>
            <w:tcW w:w="71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504</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4</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1.08</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109.2</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101.4</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0.32</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rPr>
            </w:pPr>
            <w:r w:rsidRPr="00F415B8">
              <w:rPr>
                <w:rFonts w:ascii="Courier" w:hAnsi="Courier"/>
              </w:rPr>
              <w:t>1.14E+06</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szCs w:val="22"/>
              </w:rPr>
            </w:pPr>
            <w:r w:rsidRPr="00F415B8">
              <w:rPr>
                <w:rFonts w:ascii="Courier" w:hAnsi="Courier"/>
                <w:szCs w:val="22"/>
              </w:rPr>
              <w:t> </w:t>
            </w:r>
          </w:p>
        </w:tc>
      </w:tr>
      <w:tr w:rsidR="00404448" w:rsidRPr="00F415B8">
        <w:trPr>
          <w:trHeight w:val="260"/>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16.3</w:t>
            </w:r>
          </w:p>
        </w:tc>
        <w:tc>
          <w:tcPr>
            <w:tcW w:w="63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55</w:t>
            </w:r>
          </w:p>
        </w:tc>
        <w:tc>
          <w:tcPr>
            <w:tcW w:w="71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504</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4</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0.85</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90.5</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106.7</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0.31</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rPr>
            </w:pPr>
            <w:r w:rsidRPr="00F415B8">
              <w:rPr>
                <w:rFonts w:ascii="Courier" w:hAnsi="Courier"/>
              </w:rPr>
              <w:t>1.17E+06</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szCs w:val="22"/>
              </w:rPr>
            </w:pPr>
            <w:r w:rsidRPr="00F415B8">
              <w:rPr>
                <w:rFonts w:ascii="Courier" w:hAnsi="Courier"/>
                <w:szCs w:val="22"/>
              </w:rPr>
              <w:t> </w:t>
            </w:r>
          </w:p>
        </w:tc>
      </w:tr>
      <w:tr w:rsidR="00404448" w:rsidRPr="00F415B8">
        <w:trPr>
          <w:trHeight w:val="260"/>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16.4</w:t>
            </w:r>
          </w:p>
        </w:tc>
        <w:tc>
          <w:tcPr>
            <w:tcW w:w="63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56</w:t>
            </w:r>
          </w:p>
        </w:tc>
        <w:tc>
          <w:tcPr>
            <w:tcW w:w="71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504</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4</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0.73</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77.1</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105.0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0.57</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rPr>
            </w:pPr>
            <w:r w:rsidRPr="00F415B8">
              <w:rPr>
                <w:rFonts w:ascii="Courier" w:hAnsi="Courier"/>
              </w:rPr>
              <w:t>1.15E+06</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szCs w:val="22"/>
              </w:rPr>
            </w:pPr>
            <w:r w:rsidRPr="00F415B8">
              <w:rPr>
                <w:rFonts w:ascii="Courier" w:hAnsi="Courier"/>
                <w:szCs w:val="22"/>
              </w:rPr>
              <w:t> </w:t>
            </w:r>
          </w:p>
        </w:tc>
      </w:tr>
      <w:tr w:rsidR="00404448" w:rsidRPr="00F415B8">
        <w:trPr>
          <w:trHeight w:val="260"/>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17.1</w:t>
            </w:r>
          </w:p>
        </w:tc>
        <w:tc>
          <w:tcPr>
            <w:tcW w:w="63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57</w:t>
            </w:r>
          </w:p>
        </w:tc>
        <w:tc>
          <w:tcPr>
            <w:tcW w:w="71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503</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2</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4</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0.74</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86.2</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117.1</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0.39</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rPr>
            </w:pPr>
            <w:r w:rsidRPr="00F415B8">
              <w:rPr>
                <w:rFonts w:ascii="Courier" w:hAnsi="Courier"/>
              </w:rPr>
              <w:t>1.09E+06</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szCs w:val="22"/>
              </w:rPr>
            </w:pPr>
            <w:r w:rsidRPr="00F415B8">
              <w:rPr>
                <w:rFonts w:ascii="Courier" w:hAnsi="Courier"/>
                <w:szCs w:val="22"/>
              </w:rPr>
              <w:t> </w:t>
            </w:r>
          </w:p>
        </w:tc>
      </w:tr>
      <w:tr w:rsidR="00404448" w:rsidRPr="00F415B8">
        <w:trPr>
          <w:trHeight w:val="260"/>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17.2</w:t>
            </w:r>
          </w:p>
        </w:tc>
        <w:tc>
          <w:tcPr>
            <w:tcW w:w="63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58</w:t>
            </w:r>
          </w:p>
        </w:tc>
        <w:tc>
          <w:tcPr>
            <w:tcW w:w="71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503</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2</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4</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1.11</w:t>
            </w:r>
          </w:p>
        </w:tc>
        <w:tc>
          <w:tcPr>
            <w:tcW w:w="1149" w:type="dxa"/>
            <w:tcBorders>
              <w:top w:val="single" w:sz="4" w:space="0" w:color="auto"/>
              <w:left w:val="single" w:sz="4" w:space="0" w:color="auto"/>
              <w:bottom w:val="single" w:sz="4" w:space="0" w:color="auto"/>
              <w:right w:val="single" w:sz="4" w:space="0" w:color="auto"/>
            </w:tcBorders>
            <w:shd w:val="clear" w:color="auto" w:fill="FFFF99"/>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120.6</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108.4</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0.11</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rPr>
            </w:pPr>
            <w:r w:rsidRPr="00F415B8">
              <w:rPr>
                <w:rFonts w:ascii="Courier" w:hAnsi="Courier"/>
              </w:rPr>
              <w:t>1.06E+06</w:t>
            </w:r>
          </w:p>
        </w:tc>
        <w:tc>
          <w:tcPr>
            <w:tcW w:w="877" w:type="dxa"/>
            <w:tcBorders>
              <w:top w:val="single" w:sz="4" w:space="0" w:color="auto"/>
              <w:left w:val="single" w:sz="4" w:space="0" w:color="auto"/>
              <w:bottom w:val="single" w:sz="4" w:space="0" w:color="auto"/>
              <w:right w:val="single" w:sz="4" w:space="0" w:color="auto"/>
            </w:tcBorders>
            <w:shd w:val="clear" w:color="auto" w:fill="FF0000"/>
            <w:noWrap/>
            <w:vAlign w:val="bottom"/>
          </w:tcPr>
          <w:p w:rsidR="00404448" w:rsidRPr="00F415B8" w:rsidRDefault="00404448" w:rsidP="00404448">
            <w:pPr>
              <w:spacing w:after="0"/>
              <w:rPr>
                <w:rFonts w:ascii="Courier" w:hAnsi="Courier"/>
                <w:szCs w:val="22"/>
              </w:rPr>
            </w:pPr>
            <w:r w:rsidRPr="00F415B8">
              <w:rPr>
                <w:rFonts w:ascii="Courier" w:hAnsi="Courier"/>
                <w:szCs w:val="22"/>
              </w:rPr>
              <w:t> </w:t>
            </w:r>
          </w:p>
        </w:tc>
      </w:tr>
      <w:tr w:rsidR="00404448" w:rsidRPr="00F415B8">
        <w:trPr>
          <w:trHeight w:val="260"/>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17.3</w:t>
            </w:r>
          </w:p>
        </w:tc>
        <w:tc>
          <w:tcPr>
            <w:tcW w:w="63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59</w:t>
            </w:r>
          </w:p>
        </w:tc>
        <w:tc>
          <w:tcPr>
            <w:tcW w:w="71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503</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2</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4</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0.77</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88.1</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113.8</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0.17</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rPr>
            </w:pPr>
            <w:r w:rsidRPr="00F415B8">
              <w:rPr>
                <w:rFonts w:ascii="Courier" w:hAnsi="Courier"/>
              </w:rPr>
              <w:t>1.08E+06</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szCs w:val="22"/>
              </w:rPr>
            </w:pPr>
            <w:r w:rsidRPr="00F415B8">
              <w:rPr>
                <w:rFonts w:ascii="Courier" w:hAnsi="Courier"/>
                <w:szCs w:val="22"/>
              </w:rPr>
              <w:t> </w:t>
            </w:r>
          </w:p>
        </w:tc>
      </w:tr>
      <w:tr w:rsidR="00404448" w:rsidRPr="00F415B8">
        <w:trPr>
          <w:trHeight w:val="260"/>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17.4</w:t>
            </w:r>
          </w:p>
        </w:tc>
        <w:tc>
          <w:tcPr>
            <w:tcW w:w="63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60</w:t>
            </w:r>
          </w:p>
        </w:tc>
        <w:tc>
          <w:tcPr>
            <w:tcW w:w="71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503</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2</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4</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0.81</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93.7</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115.4</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0.39</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rPr>
            </w:pPr>
            <w:r w:rsidRPr="00F415B8">
              <w:rPr>
                <w:rFonts w:ascii="Courier" w:hAnsi="Courier"/>
              </w:rPr>
              <w:t>1.09E+06</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szCs w:val="22"/>
              </w:rPr>
            </w:pPr>
            <w:r w:rsidRPr="00F415B8">
              <w:rPr>
                <w:rFonts w:ascii="Courier" w:hAnsi="Courier"/>
                <w:szCs w:val="22"/>
              </w:rPr>
              <w:t> </w:t>
            </w:r>
          </w:p>
        </w:tc>
      </w:tr>
      <w:tr w:rsidR="00404448" w:rsidRPr="00F415B8">
        <w:trPr>
          <w:trHeight w:val="260"/>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18.1</w:t>
            </w:r>
          </w:p>
        </w:tc>
        <w:tc>
          <w:tcPr>
            <w:tcW w:w="63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61</w:t>
            </w:r>
          </w:p>
        </w:tc>
        <w:tc>
          <w:tcPr>
            <w:tcW w:w="71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502</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4</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4</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0.71</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79.4</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112.5</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0.47</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rPr>
            </w:pPr>
            <w:r w:rsidRPr="00F415B8">
              <w:rPr>
                <w:rFonts w:ascii="Courier" w:hAnsi="Courier"/>
              </w:rPr>
              <w:t>1.03E+06</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szCs w:val="22"/>
              </w:rPr>
            </w:pPr>
            <w:r w:rsidRPr="00F415B8">
              <w:rPr>
                <w:rFonts w:ascii="Courier" w:hAnsi="Courier"/>
                <w:szCs w:val="22"/>
              </w:rPr>
              <w:t> </w:t>
            </w:r>
          </w:p>
        </w:tc>
      </w:tr>
      <w:tr w:rsidR="00404448" w:rsidRPr="00F415B8">
        <w:trPr>
          <w:trHeight w:val="260"/>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18.2</w:t>
            </w:r>
          </w:p>
        </w:tc>
        <w:tc>
          <w:tcPr>
            <w:tcW w:w="63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62</w:t>
            </w:r>
          </w:p>
        </w:tc>
        <w:tc>
          <w:tcPr>
            <w:tcW w:w="71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502</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4</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4</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1.08</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109.4</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101.7</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0.13</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rPr>
            </w:pPr>
            <w:r w:rsidRPr="00F415B8">
              <w:rPr>
                <w:rFonts w:ascii="Courier" w:hAnsi="Courier"/>
              </w:rPr>
              <w:t>1.03E+06</w:t>
            </w:r>
          </w:p>
        </w:tc>
        <w:tc>
          <w:tcPr>
            <w:tcW w:w="877" w:type="dxa"/>
            <w:tcBorders>
              <w:top w:val="single" w:sz="4" w:space="0" w:color="auto"/>
              <w:left w:val="single" w:sz="4" w:space="0" w:color="auto"/>
              <w:bottom w:val="single" w:sz="4" w:space="0" w:color="auto"/>
              <w:right w:val="single" w:sz="4" w:space="0" w:color="auto"/>
            </w:tcBorders>
            <w:shd w:val="clear" w:color="auto" w:fill="FFFF99"/>
            <w:noWrap/>
            <w:vAlign w:val="bottom"/>
          </w:tcPr>
          <w:p w:rsidR="00404448" w:rsidRPr="00F415B8" w:rsidRDefault="00404448" w:rsidP="00404448">
            <w:pPr>
              <w:spacing w:after="0"/>
              <w:rPr>
                <w:rFonts w:ascii="Courier" w:hAnsi="Courier"/>
                <w:szCs w:val="22"/>
              </w:rPr>
            </w:pPr>
            <w:r w:rsidRPr="00F415B8">
              <w:rPr>
                <w:rFonts w:ascii="Courier" w:hAnsi="Courier"/>
                <w:szCs w:val="22"/>
              </w:rPr>
              <w:t> </w:t>
            </w:r>
          </w:p>
        </w:tc>
      </w:tr>
      <w:tr w:rsidR="00404448" w:rsidRPr="00F415B8">
        <w:trPr>
          <w:trHeight w:val="260"/>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18.3</w:t>
            </w:r>
          </w:p>
        </w:tc>
        <w:tc>
          <w:tcPr>
            <w:tcW w:w="63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63</w:t>
            </w:r>
          </w:p>
        </w:tc>
        <w:tc>
          <w:tcPr>
            <w:tcW w:w="71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502</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4</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4</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0.77</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86.2</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112.5</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0.20</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rPr>
            </w:pPr>
            <w:r w:rsidRPr="00F415B8">
              <w:rPr>
                <w:rFonts w:ascii="Courier" w:hAnsi="Courier"/>
              </w:rPr>
              <w:t>1.04E+06</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szCs w:val="22"/>
              </w:rPr>
            </w:pPr>
            <w:r w:rsidRPr="00F415B8">
              <w:rPr>
                <w:rFonts w:ascii="Courier" w:hAnsi="Courier"/>
                <w:szCs w:val="22"/>
              </w:rPr>
              <w:t> </w:t>
            </w:r>
          </w:p>
        </w:tc>
      </w:tr>
      <w:tr w:rsidR="00404448" w:rsidRPr="00F415B8">
        <w:trPr>
          <w:trHeight w:val="260"/>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18.4</w:t>
            </w:r>
          </w:p>
        </w:tc>
        <w:tc>
          <w:tcPr>
            <w:tcW w:w="63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64</w:t>
            </w:r>
          </w:p>
        </w:tc>
        <w:tc>
          <w:tcPr>
            <w:tcW w:w="71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502</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4</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4</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0.75</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85.5</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114.0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0.34</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rPr>
            </w:pPr>
            <w:r w:rsidRPr="00F415B8">
              <w:rPr>
                <w:rFonts w:ascii="Courier" w:hAnsi="Courier"/>
              </w:rPr>
              <w:t>1.06E+06</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szCs w:val="22"/>
              </w:rPr>
            </w:pPr>
            <w:r w:rsidRPr="00F415B8">
              <w:rPr>
                <w:rFonts w:ascii="Courier" w:hAnsi="Courier"/>
                <w:szCs w:val="22"/>
              </w:rPr>
              <w:t> </w:t>
            </w:r>
          </w:p>
        </w:tc>
      </w:tr>
      <w:tr w:rsidR="00404448" w:rsidRPr="00F415B8">
        <w:trPr>
          <w:trHeight w:val="260"/>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19.1</w:t>
            </w:r>
          </w:p>
        </w:tc>
        <w:tc>
          <w:tcPr>
            <w:tcW w:w="63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65</w:t>
            </w:r>
          </w:p>
        </w:tc>
        <w:tc>
          <w:tcPr>
            <w:tcW w:w="71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501</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2</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0.76</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85.6</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113.3</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0.47</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rPr>
            </w:pPr>
            <w:r w:rsidRPr="00F415B8">
              <w:rPr>
                <w:rFonts w:ascii="Courier" w:hAnsi="Courier"/>
              </w:rPr>
              <w:t>1.01E+06</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szCs w:val="22"/>
              </w:rPr>
            </w:pPr>
            <w:r w:rsidRPr="00F415B8">
              <w:rPr>
                <w:rFonts w:ascii="Courier" w:hAnsi="Courier"/>
                <w:szCs w:val="22"/>
              </w:rPr>
              <w:t> </w:t>
            </w:r>
          </w:p>
        </w:tc>
      </w:tr>
      <w:tr w:rsidR="00404448" w:rsidRPr="00F415B8">
        <w:trPr>
          <w:trHeight w:val="260"/>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19.2</w:t>
            </w:r>
          </w:p>
        </w:tc>
        <w:tc>
          <w:tcPr>
            <w:tcW w:w="63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66</w:t>
            </w:r>
          </w:p>
        </w:tc>
        <w:tc>
          <w:tcPr>
            <w:tcW w:w="71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501</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2</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0.87</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89.6</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103.0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0.08</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rPr>
            </w:pPr>
            <w:r w:rsidRPr="00F415B8">
              <w:rPr>
                <w:rFonts w:ascii="Courier" w:hAnsi="Courier"/>
              </w:rPr>
              <w:t>1.02E+06</w:t>
            </w:r>
          </w:p>
        </w:tc>
        <w:tc>
          <w:tcPr>
            <w:tcW w:w="877" w:type="dxa"/>
            <w:tcBorders>
              <w:top w:val="single" w:sz="4" w:space="0" w:color="auto"/>
              <w:left w:val="single" w:sz="4" w:space="0" w:color="auto"/>
              <w:bottom w:val="single" w:sz="4" w:space="0" w:color="auto"/>
              <w:right w:val="single" w:sz="4" w:space="0" w:color="auto"/>
            </w:tcBorders>
            <w:shd w:val="clear" w:color="auto" w:fill="FFFF99"/>
            <w:noWrap/>
            <w:vAlign w:val="bottom"/>
          </w:tcPr>
          <w:p w:rsidR="00404448" w:rsidRPr="00F415B8" w:rsidRDefault="00404448" w:rsidP="00404448">
            <w:pPr>
              <w:spacing w:after="0"/>
              <w:rPr>
                <w:rFonts w:ascii="Courier" w:hAnsi="Courier"/>
                <w:szCs w:val="22"/>
              </w:rPr>
            </w:pPr>
            <w:r w:rsidRPr="00F415B8">
              <w:rPr>
                <w:rFonts w:ascii="Courier" w:hAnsi="Courier"/>
                <w:szCs w:val="22"/>
              </w:rPr>
              <w:t> </w:t>
            </w:r>
          </w:p>
        </w:tc>
      </w:tr>
      <w:tr w:rsidR="00404448" w:rsidRPr="00F415B8">
        <w:trPr>
          <w:trHeight w:val="260"/>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19.3</w:t>
            </w:r>
          </w:p>
        </w:tc>
        <w:tc>
          <w:tcPr>
            <w:tcW w:w="63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67</w:t>
            </w:r>
          </w:p>
        </w:tc>
        <w:tc>
          <w:tcPr>
            <w:tcW w:w="71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501</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2</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0.80</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90.3</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112.9</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0.17</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rPr>
            </w:pPr>
            <w:r w:rsidRPr="00F415B8">
              <w:rPr>
                <w:rFonts w:ascii="Courier" w:hAnsi="Courier"/>
              </w:rPr>
              <w:t>1.06E+06</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szCs w:val="22"/>
              </w:rPr>
            </w:pPr>
            <w:r w:rsidRPr="00F415B8">
              <w:rPr>
                <w:rFonts w:ascii="Courier" w:hAnsi="Courier"/>
                <w:szCs w:val="22"/>
              </w:rPr>
              <w:t> </w:t>
            </w:r>
          </w:p>
        </w:tc>
      </w:tr>
      <w:tr w:rsidR="00404448" w:rsidRPr="00F415B8">
        <w:trPr>
          <w:trHeight w:val="260"/>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19.4</w:t>
            </w:r>
          </w:p>
        </w:tc>
        <w:tc>
          <w:tcPr>
            <w:tcW w:w="63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68</w:t>
            </w:r>
          </w:p>
        </w:tc>
        <w:tc>
          <w:tcPr>
            <w:tcW w:w="71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501</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2</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0.72</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80.0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111.9</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0.59</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rPr>
            </w:pPr>
            <w:r w:rsidRPr="00F415B8">
              <w:rPr>
                <w:rFonts w:ascii="Courier" w:hAnsi="Courier"/>
              </w:rPr>
              <w:t>1.01E+06</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szCs w:val="22"/>
              </w:rPr>
            </w:pPr>
            <w:r w:rsidRPr="00F415B8">
              <w:rPr>
                <w:rFonts w:ascii="Courier" w:hAnsi="Courier"/>
                <w:szCs w:val="22"/>
              </w:rPr>
              <w:t> </w:t>
            </w:r>
          </w:p>
        </w:tc>
      </w:tr>
      <w:tr w:rsidR="00404448" w:rsidRPr="00F415B8">
        <w:trPr>
          <w:trHeight w:val="260"/>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20.1</w:t>
            </w:r>
          </w:p>
        </w:tc>
        <w:tc>
          <w:tcPr>
            <w:tcW w:w="63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69</w:t>
            </w:r>
          </w:p>
        </w:tc>
        <w:tc>
          <w:tcPr>
            <w:tcW w:w="71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500</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3</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2</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0.74</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81.4</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109.5</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0.41</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rPr>
            </w:pPr>
            <w:r w:rsidRPr="00F415B8">
              <w:rPr>
                <w:rFonts w:ascii="Courier" w:hAnsi="Courier"/>
              </w:rPr>
              <w:t>1.16E+06</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szCs w:val="22"/>
              </w:rPr>
            </w:pPr>
            <w:r w:rsidRPr="00F415B8">
              <w:rPr>
                <w:rFonts w:ascii="Courier" w:hAnsi="Courier"/>
                <w:szCs w:val="22"/>
              </w:rPr>
              <w:t> </w:t>
            </w:r>
          </w:p>
        </w:tc>
      </w:tr>
      <w:tr w:rsidR="00404448" w:rsidRPr="00F415B8">
        <w:trPr>
          <w:trHeight w:val="260"/>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20.2</w:t>
            </w:r>
          </w:p>
        </w:tc>
        <w:tc>
          <w:tcPr>
            <w:tcW w:w="63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70</w:t>
            </w:r>
          </w:p>
        </w:tc>
        <w:tc>
          <w:tcPr>
            <w:tcW w:w="71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500</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3</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2</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0.76</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81.0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107.1</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0.20</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rPr>
            </w:pPr>
            <w:r w:rsidRPr="00F415B8">
              <w:rPr>
                <w:rFonts w:ascii="Courier" w:hAnsi="Courier"/>
              </w:rPr>
              <w:t>1.14E+06</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szCs w:val="22"/>
              </w:rPr>
            </w:pPr>
            <w:r w:rsidRPr="00F415B8">
              <w:rPr>
                <w:rFonts w:ascii="Courier" w:hAnsi="Courier"/>
                <w:szCs w:val="22"/>
              </w:rPr>
              <w:t> </w:t>
            </w:r>
          </w:p>
        </w:tc>
      </w:tr>
      <w:tr w:rsidR="00404448" w:rsidRPr="00F415B8">
        <w:trPr>
          <w:trHeight w:val="260"/>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20.3</w:t>
            </w:r>
          </w:p>
        </w:tc>
        <w:tc>
          <w:tcPr>
            <w:tcW w:w="63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71</w:t>
            </w:r>
          </w:p>
        </w:tc>
        <w:tc>
          <w:tcPr>
            <w:tcW w:w="71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500</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3</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2</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0.72</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83.2</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115.1</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0.11</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rPr>
            </w:pPr>
            <w:r w:rsidRPr="00F415B8">
              <w:rPr>
                <w:rFonts w:ascii="Courier" w:hAnsi="Courier"/>
              </w:rPr>
              <w:t>1.13E+06</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szCs w:val="22"/>
              </w:rPr>
            </w:pPr>
            <w:r w:rsidRPr="00F415B8">
              <w:rPr>
                <w:rFonts w:ascii="Courier" w:hAnsi="Courier"/>
                <w:szCs w:val="22"/>
              </w:rPr>
              <w:t> </w:t>
            </w:r>
          </w:p>
        </w:tc>
      </w:tr>
      <w:tr w:rsidR="00404448" w:rsidRPr="00F415B8">
        <w:trPr>
          <w:trHeight w:val="260"/>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20.4</w:t>
            </w:r>
          </w:p>
        </w:tc>
        <w:tc>
          <w:tcPr>
            <w:tcW w:w="63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72</w:t>
            </w:r>
          </w:p>
        </w:tc>
        <w:tc>
          <w:tcPr>
            <w:tcW w:w="71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500</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3</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2</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0.75</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87.1</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115.6</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0.61</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rPr>
            </w:pPr>
            <w:r w:rsidRPr="00F415B8">
              <w:rPr>
                <w:rFonts w:ascii="Courier" w:hAnsi="Courier"/>
              </w:rPr>
              <w:t>1.13E+06</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szCs w:val="22"/>
              </w:rPr>
            </w:pPr>
            <w:r w:rsidRPr="00F415B8">
              <w:rPr>
                <w:rFonts w:ascii="Courier" w:hAnsi="Courier"/>
                <w:szCs w:val="22"/>
              </w:rPr>
              <w:t> </w:t>
            </w:r>
          </w:p>
        </w:tc>
      </w:tr>
      <w:tr w:rsidR="00404448" w:rsidRPr="00F415B8">
        <w:trPr>
          <w:trHeight w:val="260"/>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22.1</w:t>
            </w:r>
          </w:p>
        </w:tc>
        <w:tc>
          <w:tcPr>
            <w:tcW w:w="63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73</w:t>
            </w:r>
          </w:p>
        </w:tc>
        <w:tc>
          <w:tcPr>
            <w:tcW w:w="71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503</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3</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0.74</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79.1</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107.1</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0.28</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rPr>
            </w:pPr>
            <w:r w:rsidRPr="00F415B8">
              <w:rPr>
                <w:rFonts w:ascii="Courier" w:hAnsi="Courier"/>
              </w:rPr>
              <w:t>1.13E+06</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szCs w:val="22"/>
              </w:rPr>
            </w:pPr>
            <w:r w:rsidRPr="00F415B8">
              <w:rPr>
                <w:rFonts w:ascii="Courier" w:hAnsi="Courier"/>
                <w:szCs w:val="22"/>
              </w:rPr>
              <w:t> </w:t>
            </w:r>
          </w:p>
        </w:tc>
      </w:tr>
      <w:tr w:rsidR="00404448" w:rsidRPr="00F415B8">
        <w:trPr>
          <w:trHeight w:val="260"/>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22.2</w:t>
            </w:r>
          </w:p>
        </w:tc>
        <w:tc>
          <w:tcPr>
            <w:tcW w:w="63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74</w:t>
            </w:r>
          </w:p>
        </w:tc>
        <w:tc>
          <w:tcPr>
            <w:tcW w:w="71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503</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3</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0.73</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79.4</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108.3</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0.45</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rPr>
            </w:pPr>
            <w:r w:rsidRPr="00F415B8">
              <w:rPr>
                <w:rFonts w:ascii="Courier" w:hAnsi="Courier"/>
              </w:rPr>
              <w:t>1.14E+06</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szCs w:val="22"/>
              </w:rPr>
            </w:pPr>
            <w:r w:rsidRPr="00F415B8">
              <w:rPr>
                <w:rFonts w:ascii="Courier" w:hAnsi="Courier"/>
                <w:szCs w:val="22"/>
              </w:rPr>
              <w:t> </w:t>
            </w:r>
          </w:p>
        </w:tc>
      </w:tr>
      <w:tr w:rsidR="00404448" w:rsidRPr="00F415B8">
        <w:trPr>
          <w:trHeight w:val="260"/>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22.3</w:t>
            </w:r>
          </w:p>
        </w:tc>
        <w:tc>
          <w:tcPr>
            <w:tcW w:w="63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75</w:t>
            </w:r>
          </w:p>
        </w:tc>
        <w:tc>
          <w:tcPr>
            <w:tcW w:w="71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503</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3</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0.78</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82.3</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104.9</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0.16</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rPr>
            </w:pPr>
            <w:r w:rsidRPr="00F415B8">
              <w:rPr>
                <w:rFonts w:ascii="Courier" w:hAnsi="Courier"/>
              </w:rPr>
              <w:t>1.19E+06</w:t>
            </w:r>
          </w:p>
        </w:tc>
        <w:tc>
          <w:tcPr>
            <w:tcW w:w="877" w:type="dxa"/>
            <w:tcBorders>
              <w:top w:val="single" w:sz="4" w:space="0" w:color="auto"/>
              <w:left w:val="single" w:sz="4" w:space="0" w:color="auto"/>
              <w:bottom w:val="single" w:sz="4" w:space="0" w:color="auto"/>
              <w:right w:val="single" w:sz="4" w:space="0" w:color="auto"/>
            </w:tcBorders>
            <w:shd w:val="clear" w:color="auto" w:fill="FFFF99"/>
            <w:noWrap/>
            <w:vAlign w:val="bottom"/>
          </w:tcPr>
          <w:p w:rsidR="00404448" w:rsidRPr="00F415B8" w:rsidRDefault="00404448" w:rsidP="00404448">
            <w:pPr>
              <w:spacing w:after="0"/>
              <w:rPr>
                <w:rFonts w:ascii="Courier" w:hAnsi="Courier"/>
                <w:szCs w:val="22"/>
              </w:rPr>
            </w:pPr>
            <w:r w:rsidRPr="00F415B8">
              <w:rPr>
                <w:rFonts w:ascii="Courier" w:hAnsi="Courier"/>
                <w:szCs w:val="22"/>
              </w:rPr>
              <w:t> </w:t>
            </w:r>
          </w:p>
        </w:tc>
      </w:tr>
      <w:tr w:rsidR="00404448" w:rsidRPr="00F415B8">
        <w:trPr>
          <w:trHeight w:val="260"/>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22.4</w:t>
            </w:r>
          </w:p>
        </w:tc>
        <w:tc>
          <w:tcPr>
            <w:tcW w:w="63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76</w:t>
            </w:r>
          </w:p>
        </w:tc>
        <w:tc>
          <w:tcPr>
            <w:tcW w:w="71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503</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3</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0.80</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84.6</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105.2</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0.42</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rPr>
            </w:pPr>
            <w:r w:rsidRPr="00F415B8">
              <w:rPr>
                <w:rFonts w:ascii="Courier" w:hAnsi="Courier"/>
              </w:rPr>
              <w:t>1.16E+06</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szCs w:val="22"/>
              </w:rPr>
            </w:pPr>
            <w:r w:rsidRPr="00F415B8">
              <w:rPr>
                <w:rFonts w:ascii="Courier" w:hAnsi="Courier"/>
                <w:szCs w:val="22"/>
              </w:rPr>
              <w:t> </w:t>
            </w:r>
          </w:p>
        </w:tc>
      </w:tr>
      <w:tr w:rsidR="00404448" w:rsidRPr="00F415B8">
        <w:trPr>
          <w:trHeight w:val="260"/>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23.1</w:t>
            </w:r>
          </w:p>
        </w:tc>
        <w:tc>
          <w:tcPr>
            <w:tcW w:w="63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77</w:t>
            </w:r>
          </w:p>
        </w:tc>
        <w:tc>
          <w:tcPr>
            <w:tcW w:w="71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502</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0.72</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81.3</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112.7</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0.66</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rPr>
            </w:pPr>
            <w:r w:rsidRPr="00F415B8">
              <w:rPr>
                <w:rFonts w:ascii="Courier" w:hAnsi="Courier"/>
              </w:rPr>
              <w:t>1.07E+06</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szCs w:val="22"/>
              </w:rPr>
            </w:pPr>
            <w:r w:rsidRPr="00F415B8">
              <w:rPr>
                <w:rFonts w:ascii="Courier" w:hAnsi="Courier"/>
                <w:szCs w:val="22"/>
              </w:rPr>
              <w:t> </w:t>
            </w:r>
          </w:p>
        </w:tc>
      </w:tr>
      <w:tr w:rsidR="00404448" w:rsidRPr="00F415B8">
        <w:trPr>
          <w:trHeight w:val="260"/>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23.2</w:t>
            </w:r>
          </w:p>
        </w:tc>
        <w:tc>
          <w:tcPr>
            <w:tcW w:w="63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78</w:t>
            </w:r>
          </w:p>
        </w:tc>
        <w:tc>
          <w:tcPr>
            <w:tcW w:w="71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502</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0.74</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83.9</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112.7</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0.58</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rPr>
            </w:pPr>
            <w:r w:rsidRPr="00F415B8">
              <w:rPr>
                <w:rFonts w:ascii="Courier" w:hAnsi="Courier"/>
              </w:rPr>
              <w:t>1.05E+06</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szCs w:val="22"/>
              </w:rPr>
            </w:pPr>
            <w:r w:rsidRPr="00F415B8">
              <w:rPr>
                <w:rFonts w:ascii="Courier" w:hAnsi="Courier"/>
                <w:szCs w:val="22"/>
              </w:rPr>
              <w:t> </w:t>
            </w:r>
          </w:p>
        </w:tc>
      </w:tr>
      <w:tr w:rsidR="00404448" w:rsidRPr="00F415B8">
        <w:trPr>
          <w:trHeight w:val="260"/>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23.3</w:t>
            </w:r>
          </w:p>
        </w:tc>
        <w:tc>
          <w:tcPr>
            <w:tcW w:w="63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79</w:t>
            </w:r>
          </w:p>
        </w:tc>
        <w:tc>
          <w:tcPr>
            <w:tcW w:w="71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502</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0.85</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83.1</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97.3</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0.37</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rPr>
            </w:pPr>
            <w:r w:rsidRPr="00F415B8">
              <w:rPr>
                <w:rFonts w:ascii="Courier" w:hAnsi="Courier"/>
              </w:rPr>
              <w:t>1.15E+06</w:t>
            </w:r>
          </w:p>
        </w:tc>
        <w:tc>
          <w:tcPr>
            <w:tcW w:w="877" w:type="dxa"/>
            <w:tcBorders>
              <w:top w:val="single" w:sz="4" w:space="0" w:color="auto"/>
              <w:left w:val="single" w:sz="4" w:space="0" w:color="auto"/>
              <w:bottom w:val="single" w:sz="4" w:space="0" w:color="auto"/>
              <w:right w:val="single" w:sz="4" w:space="0" w:color="auto"/>
            </w:tcBorders>
            <w:shd w:val="clear" w:color="auto" w:fill="FFFF99"/>
            <w:noWrap/>
            <w:vAlign w:val="bottom"/>
          </w:tcPr>
          <w:p w:rsidR="00404448" w:rsidRPr="00F415B8" w:rsidRDefault="00404448" w:rsidP="00404448">
            <w:pPr>
              <w:spacing w:after="0"/>
              <w:rPr>
                <w:rFonts w:ascii="Courier" w:hAnsi="Courier"/>
                <w:szCs w:val="22"/>
              </w:rPr>
            </w:pPr>
            <w:r w:rsidRPr="00F415B8">
              <w:rPr>
                <w:rFonts w:ascii="Courier" w:hAnsi="Courier"/>
                <w:szCs w:val="22"/>
              </w:rPr>
              <w:t> </w:t>
            </w:r>
          </w:p>
        </w:tc>
      </w:tr>
      <w:tr w:rsidR="00404448" w:rsidRPr="00F415B8">
        <w:trPr>
          <w:trHeight w:val="260"/>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23.4</w:t>
            </w:r>
          </w:p>
        </w:tc>
        <w:tc>
          <w:tcPr>
            <w:tcW w:w="63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80</w:t>
            </w:r>
          </w:p>
        </w:tc>
        <w:tc>
          <w:tcPr>
            <w:tcW w:w="71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502</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0.73</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84.0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115.8</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0.60</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rPr>
            </w:pPr>
            <w:r w:rsidRPr="00F415B8">
              <w:rPr>
                <w:rFonts w:ascii="Courier" w:hAnsi="Courier"/>
              </w:rPr>
              <w:t>1.13E+06</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szCs w:val="22"/>
              </w:rPr>
            </w:pPr>
            <w:r w:rsidRPr="00F415B8">
              <w:rPr>
                <w:rFonts w:ascii="Courier" w:hAnsi="Courier"/>
                <w:szCs w:val="22"/>
              </w:rPr>
              <w:t> </w:t>
            </w:r>
          </w:p>
        </w:tc>
      </w:tr>
      <w:tr w:rsidR="00404448" w:rsidRPr="00F415B8">
        <w:trPr>
          <w:trHeight w:val="260"/>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24.1</w:t>
            </w:r>
          </w:p>
        </w:tc>
        <w:tc>
          <w:tcPr>
            <w:tcW w:w="63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81</w:t>
            </w:r>
          </w:p>
        </w:tc>
        <w:tc>
          <w:tcPr>
            <w:tcW w:w="71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501</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2</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0.82</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96.3</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117.0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0.30</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rPr>
            </w:pPr>
            <w:r w:rsidRPr="00F415B8">
              <w:rPr>
                <w:rFonts w:ascii="Courier" w:hAnsi="Courier"/>
              </w:rPr>
              <w:t>1.08E+06</w:t>
            </w:r>
          </w:p>
        </w:tc>
        <w:tc>
          <w:tcPr>
            <w:tcW w:w="877" w:type="dxa"/>
            <w:tcBorders>
              <w:top w:val="single" w:sz="4" w:space="0" w:color="auto"/>
              <w:left w:val="single" w:sz="4" w:space="0" w:color="auto"/>
              <w:bottom w:val="single" w:sz="4" w:space="0" w:color="auto"/>
              <w:right w:val="single" w:sz="4" w:space="0" w:color="auto"/>
            </w:tcBorders>
            <w:shd w:val="clear" w:color="auto" w:fill="FFFF99"/>
            <w:noWrap/>
            <w:vAlign w:val="bottom"/>
          </w:tcPr>
          <w:p w:rsidR="00404448" w:rsidRPr="00F415B8" w:rsidRDefault="00404448" w:rsidP="00404448">
            <w:pPr>
              <w:spacing w:after="0"/>
              <w:rPr>
                <w:rFonts w:ascii="Courier" w:hAnsi="Courier"/>
                <w:szCs w:val="22"/>
              </w:rPr>
            </w:pPr>
            <w:r w:rsidRPr="00F415B8">
              <w:rPr>
                <w:rFonts w:ascii="Courier" w:hAnsi="Courier"/>
                <w:szCs w:val="22"/>
              </w:rPr>
              <w:t> </w:t>
            </w:r>
          </w:p>
        </w:tc>
      </w:tr>
      <w:tr w:rsidR="00404448" w:rsidRPr="00F415B8">
        <w:trPr>
          <w:trHeight w:val="260"/>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24.2</w:t>
            </w:r>
          </w:p>
        </w:tc>
        <w:tc>
          <w:tcPr>
            <w:tcW w:w="63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82</w:t>
            </w:r>
          </w:p>
        </w:tc>
        <w:tc>
          <w:tcPr>
            <w:tcW w:w="71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501</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2</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0.83</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97.0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116.4</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0.25</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rPr>
            </w:pPr>
            <w:r w:rsidRPr="00F415B8">
              <w:rPr>
                <w:rFonts w:ascii="Courier" w:hAnsi="Courier"/>
              </w:rPr>
              <w:t>1.06E+06</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szCs w:val="22"/>
              </w:rPr>
            </w:pPr>
            <w:r w:rsidRPr="00F415B8">
              <w:rPr>
                <w:rFonts w:ascii="Courier" w:hAnsi="Courier"/>
                <w:szCs w:val="22"/>
              </w:rPr>
              <w:t> </w:t>
            </w:r>
          </w:p>
        </w:tc>
      </w:tr>
      <w:tr w:rsidR="00404448" w:rsidRPr="00F415B8">
        <w:trPr>
          <w:trHeight w:val="260"/>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24.3</w:t>
            </w:r>
          </w:p>
        </w:tc>
        <w:tc>
          <w:tcPr>
            <w:tcW w:w="63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83</w:t>
            </w:r>
          </w:p>
        </w:tc>
        <w:tc>
          <w:tcPr>
            <w:tcW w:w="71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501</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2</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1.43</w:t>
            </w:r>
          </w:p>
        </w:tc>
        <w:tc>
          <w:tcPr>
            <w:tcW w:w="1149" w:type="dxa"/>
            <w:tcBorders>
              <w:top w:val="single" w:sz="4" w:space="0" w:color="auto"/>
              <w:left w:val="single" w:sz="4" w:space="0" w:color="auto"/>
              <w:bottom w:val="single" w:sz="4" w:space="0" w:color="auto"/>
              <w:right w:val="single" w:sz="4" w:space="0" w:color="auto"/>
            </w:tcBorders>
            <w:shd w:val="clear" w:color="auto" w:fill="FFFF99"/>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139.0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97.2</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0.30</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rPr>
            </w:pPr>
            <w:r w:rsidRPr="00F415B8">
              <w:rPr>
                <w:rFonts w:ascii="Courier" w:hAnsi="Courier"/>
              </w:rPr>
              <w:t>1.14E+06</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szCs w:val="22"/>
              </w:rPr>
            </w:pPr>
            <w:r w:rsidRPr="00F415B8">
              <w:rPr>
                <w:rFonts w:ascii="Courier" w:hAnsi="Courier"/>
                <w:szCs w:val="22"/>
              </w:rPr>
              <w:t> </w:t>
            </w:r>
          </w:p>
        </w:tc>
      </w:tr>
      <w:tr w:rsidR="00404448" w:rsidRPr="00F415B8">
        <w:trPr>
          <w:trHeight w:val="260"/>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24.4</w:t>
            </w:r>
          </w:p>
        </w:tc>
        <w:tc>
          <w:tcPr>
            <w:tcW w:w="632"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84</w:t>
            </w:r>
          </w:p>
        </w:tc>
        <w:tc>
          <w:tcPr>
            <w:tcW w:w="718"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501</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2</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0.97</w:t>
            </w:r>
          </w:p>
        </w:tc>
        <w:tc>
          <w:tcPr>
            <w:tcW w:w="1149"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99.5</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102.8</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0.48</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rPr>
            </w:pPr>
            <w:r w:rsidRPr="00F415B8">
              <w:rPr>
                <w:rFonts w:ascii="Courier" w:hAnsi="Courier"/>
              </w:rPr>
              <w:t>1.12E+06</w:t>
            </w: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szCs w:val="22"/>
              </w:rPr>
            </w:pPr>
            <w:r w:rsidRPr="00F415B8">
              <w:rPr>
                <w:rFonts w:ascii="Courier" w:hAnsi="Courier"/>
                <w:szCs w:val="22"/>
              </w:rPr>
              <w:t> </w:t>
            </w:r>
          </w:p>
        </w:tc>
      </w:tr>
    </w:tbl>
    <w:p w:rsidR="00404448" w:rsidRPr="00F415B8" w:rsidRDefault="00404448" w:rsidP="00404448">
      <w:pPr>
        <w:rPr>
          <w:u w:val="single"/>
        </w:rPr>
      </w:pPr>
    </w:p>
    <w:p w:rsidR="00404448" w:rsidRPr="00AF681C" w:rsidRDefault="004C78B9" w:rsidP="00404448">
      <w:pPr>
        <w:outlineLvl w:val="0"/>
        <w:rPr>
          <w:u w:val="single"/>
        </w:rPr>
      </w:pPr>
      <w:r w:rsidRPr="00D84AE5">
        <w:rPr>
          <w:u w:val="single"/>
        </w:rPr>
        <w:fldChar w:fldCharType="begin"/>
      </w:r>
      <w:r w:rsidR="00404448" w:rsidRPr="00D84AE5">
        <w:rPr>
          <w:u w:val="single"/>
        </w:rPr>
        <w:instrText xml:space="preserve"> REF _Ref108511873 \h </w:instrText>
      </w:r>
      <w:r w:rsidR="002559BD" w:rsidRPr="004C78B9">
        <w:rPr>
          <w:u w:val="single"/>
        </w:rPr>
      </w:r>
      <w:r w:rsidRPr="00D84AE5">
        <w:rPr>
          <w:u w:val="single"/>
        </w:rPr>
        <w:fldChar w:fldCharType="separate"/>
      </w:r>
      <w:r w:rsidR="000D2EB4">
        <w:t xml:space="preserve">Table </w:t>
      </w:r>
      <w:r w:rsidR="000D2EB4">
        <w:rPr>
          <w:noProof/>
        </w:rPr>
        <w:t>13</w:t>
      </w:r>
      <w:r w:rsidRPr="00D84AE5">
        <w:rPr>
          <w:u w:val="single"/>
        </w:rPr>
        <w:fldChar w:fldCharType="end"/>
      </w:r>
      <w:r w:rsidR="00404448" w:rsidRPr="00D84AE5">
        <w:rPr>
          <w:u w:val="single"/>
        </w:rPr>
        <w:t xml:space="preserve"> </w:t>
      </w:r>
      <w:r w:rsidR="00404448" w:rsidRPr="00AF681C">
        <w:rPr>
          <w:u w:val="single"/>
        </w:rPr>
        <w:t>Notes:</w:t>
      </w:r>
    </w:p>
    <w:p w:rsidR="00404448" w:rsidRDefault="00404448" w:rsidP="00404448">
      <w:pPr>
        <w:rPr>
          <w:szCs w:val="22"/>
        </w:rPr>
      </w:pPr>
      <w:r w:rsidRPr="00FE442C">
        <w:rPr>
          <w:b/>
        </w:rPr>
        <w:t>Read Noise</w:t>
      </w:r>
      <w:r w:rsidR="00D34AAB">
        <w:t xml:space="preserve"> – Same as FC</w:t>
      </w:r>
      <w:r>
        <w:t xml:space="preserve"> model</w:t>
      </w:r>
      <w:r w:rsidR="00D34AAB">
        <w:t xml:space="preserve"> delivered to MAST</w:t>
      </w:r>
      <w:r w:rsidR="00A6096C">
        <w:t xml:space="preserve"> (KAM §2.3.5.7)</w:t>
      </w:r>
      <w:r>
        <w:t xml:space="preserve">, file </w:t>
      </w:r>
      <w:r w:rsidRPr="00AF681C">
        <w:rPr>
          <w:rFonts w:ascii="Courier" w:hAnsi="Courier"/>
          <w:sz w:val="22"/>
          <w:szCs w:val="22"/>
        </w:rPr>
        <w:t>kplr2008102416_read-noise.txt</w:t>
      </w:r>
      <w:r>
        <w:rPr>
          <w:sz w:val="22"/>
          <w:szCs w:val="22"/>
        </w:rPr>
        <w:t xml:space="preserve">. </w:t>
      </w:r>
      <w:r w:rsidRPr="00AF681C">
        <w:rPr>
          <w:szCs w:val="22"/>
        </w:rPr>
        <w:t xml:space="preserve">Source of Data Set:  </w:t>
      </w:r>
      <w:r>
        <w:rPr>
          <w:szCs w:val="22"/>
        </w:rPr>
        <w:t>M</w:t>
      </w:r>
      <w:r w:rsidRPr="00AF681C">
        <w:rPr>
          <w:szCs w:val="22"/>
        </w:rPr>
        <w:t>easured during the Ball Detector Flight Segment Thermal/Vacuum test (FS0011) of Aug-Sep 2008.  The specific measurements are taken from the 25 LDE side-2 FFIs taken at the</w:t>
      </w:r>
      <w:r>
        <w:rPr>
          <w:szCs w:val="22"/>
        </w:rPr>
        <w:t xml:space="preserve"> </w:t>
      </w:r>
      <w:r w:rsidRPr="00AF681C">
        <w:rPr>
          <w:szCs w:val="22"/>
        </w:rPr>
        <w:t>end of the Cold Thermal Balance (CTB) p</w:t>
      </w:r>
      <w:r w:rsidR="00A6096C">
        <w:rPr>
          <w:szCs w:val="22"/>
        </w:rPr>
        <w:t>ortion of the test. These data we</w:t>
      </w:r>
      <w:r w:rsidRPr="00AF681C">
        <w:rPr>
          <w:szCs w:val="22"/>
        </w:rPr>
        <w:t>re taken under the mos</w:t>
      </w:r>
      <w:r>
        <w:rPr>
          <w:szCs w:val="22"/>
        </w:rPr>
        <w:t>t flight like conditions during ground testing and represent the</w:t>
      </w:r>
      <w:r w:rsidRPr="00AF681C">
        <w:rPr>
          <w:szCs w:val="22"/>
        </w:rPr>
        <w:t xml:space="preserve"> best estimate of the expected read noise in orbit.</w:t>
      </w:r>
    </w:p>
    <w:p w:rsidR="00404448" w:rsidRDefault="00404448" w:rsidP="00404448">
      <w:pPr>
        <w:rPr>
          <w:szCs w:val="22"/>
        </w:rPr>
      </w:pPr>
      <w:r w:rsidRPr="00FE442C">
        <w:rPr>
          <w:b/>
          <w:szCs w:val="22"/>
        </w:rPr>
        <w:t>Gain</w:t>
      </w:r>
      <w:r>
        <w:rPr>
          <w:szCs w:val="22"/>
        </w:rPr>
        <w:t xml:space="preserve"> – </w:t>
      </w:r>
      <w:r w:rsidR="00D34AAB">
        <w:rPr>
          <w:szCs w:val="22"/>
        </w:rPr>
        <w:t xml:space="preserve">Same as FC </w:t>
      </w:r>
      <w:r>
        <w:rPr>
          <w:szCs w:val="22"/>
        </w:rPr>
        <w:t>model</w:t>
      </w:r>
      <w:r w:rsidR="00D34AAB">
        <w:rPr>
          <w:szCs w:val="22"/>
        </w:rPr>
        <w:t xml:space="preserve"> delivered to MAST</w:t>
      </w:r>
      <w:r w:rsidR="00A6096C">
        <w:rPr>
          <w:szCs w:val="22"/>
        </w:rPr>
        <w:t xml:space="preserve"> (§2.3.5.8)</w:t>
      </w:r>
      <w:r>
        <w:rPr>
          <w:szCs w:val="22"/>
        </w:rPr>
        <w:t xml:space="preserve">, file </w:t>
      </w:r>
      <w:r w:rsidRPr="00AF681C">
        <w:rPr>
          <w:rFonts w:ascii="Courier" w:hAnsi="Courier"/>
          <w:sz w:val="22"/>
          <w:szCs w:val="22"/>
        </w:rPr>
        <w:t>kplr2008072318_gain.txt</w:t>
      </w:r>
      <w:r>
        <w:rPr>
          <w:rFonts w:ascii="Courier" w:hAnsi="Courier"/>
          <w:sz w:val="22"/>
          <w:szCs w:val="22"/>
        </w:rPr>
        <w:t xml:space="preserve">. </w:t>
      </w:r>
      <w:r w:rsidRPr="00AF681C">
        <w:rPr>
          <w:szCs w:val="22"/>
        </w:rPr>
        <w:t>T</w:t>
      </w:r>
      <w:r>
        <w:rPr>
          <w:szCs w:val="22"/>
        </w:rPr>
        <w:t xml:space="preserve">he gains </w:t>
      </w:r>
      <w:r w:rsidRPr="00AF681C">
        <w:rPr>
          <w:szCs w:val="22"/>
        </w:rPr>
        <w:t>are in units of electrons/DN.</w:t>
      </w:r>
      <w:r>
        <w:rPr>
          <w:szCs w:val="22"/>
        </w:rPr>
        <w:t xml:space="preserve">  </w:t>
      </w:r>
      <w:r w:rsidRPr="00AF681C">
        <w:rPr>
          <w:szCs w:val="22"/>
        </w:rPr>
        <w:t>The gain values contained in this delivery were calculated by Ball from</w:t>
      </w:r>
      <w:r>
        <w:rPr>
          <w:szCs w:val="22"/>
        </w:rPr>
        <w:t xml:space="preserve"> the </w:t>
      </w:r>
      <w:r w:rsidRPr="00AF681C">
        <w:rPr>
          <w:szCs w:val="22"/>
        </w:rPr>
        <w:t xml:space="preserve">PH0002 gain test at nominal operating temperatures </w:t>
      </w:r>
      <w:r>
        <w:rPr>
          <w:szCs w:val="22"/>
        </w:rPr>
        <w:t xml:space="preserve">using the method described in </w:t>
      </w:r>
      <w:r w:rsidR="00E607E6">
        <w:rPr>
          <w:szCs w:val="22"/>
        </w:rPr>
        <w:t>§</w:t>
      </w:r>
      <w:r w:rsidR="004C78B9">
        <w:rPr>
          <w:szCs w:val="22"/>
        </w:rPr>
        <w:fldChar w:fldCharType="begin"/>
      </w:r>
      <w:r>
        <w:rPr>
          <w:szCs w:val="22"/>
        </w:rPr>
        <w:instrText xml:space="preserve"> REF _Ref109039498 \r \h </w:instrText>
      </w:r>
      <w:r w:rsidR="002559BD" w:rsidRPr="004C78B9">
        <w:rPr>
          <w:szCs w:val="22"/>
        </w:rPr>
      </w:r>
      <w:r w:rsidR="004C78B9">
        <w:rPr>
          <w:szCs w:val="22"/>
        </w:rPr>
        <w:fldChar w:fldCharType="separate"/>
      </w:r>
      <w:r w:rsidR="000D2EB4">
        <w:rPr>
          <w:szCs w:val="22"/>
        </w:rPr>
        <w:t>4.9</w:t>
      </w:r>
      <w:r w:rsidR="004C78B9">
        <w:rPr>
          <w:szCs w:val="22"/>
        </w:rPr>
        <w:fldChar w:fldCharType="end"/>
      </w:r>
      <w:r w:rsidR="00D253CE">
        <w:rPr>
          <w:szCs w:val="22"/>
        </w:rPr>
        <w:t xml:space="preserve"> and detailed in KADN-26196.</w:t>
      </w:r>
    </w:p>
    <w:p w:rsidR="00404448" w:rsidRDefault="00404448" w:rsidP="00404448">
      <w:r w:rsidRPr="00FE442C">
        <w:rPr>
          <w:b/>
          <w:szCs w:val="22"/>
        </w:rPr>
        <w:t>Undershoot</w:t>
      </w:r>
      <w:r>
        <w:rPr>
          <w:szCs w:val="22"/>
        </w:rPr>
        <w:t xml:space="preserve"> – </w:t>
      </w:r>
      <w:r w:rsidR="00626265">
        <w:rPr>
          <w:szCs w:val="22"/>
        </w:rPr>
        <w:t xml:space="preserve">First undershoot coefficient – 1, </w:t>
      </w:r>
      <w:r w:rsidR="00E25508">
        <w:rPr>
          <w:szCs w:val="22"/>
        </w:rPr>
        <w:t>from FC model delivered to MAST</w:t>
      </w:r>
      <w:r w:rsidR="00D253CE">
        <w:rPr>
          <w:szCs w:val="22"/>
        </w:rPr>
        <w:t xml:space="preserve"> (KAM §2.3.5.10)</w:t>
      </w:r>
      <w:r>
        <w:rPr>
          <w:szCs w:val="22"/>
        </w:rPr>
        <w:t xml:space="preserve">, file </w:t>
      </w:r>
      <w:r w:rsidRPr="00FE442C">
        <w:rPr>
          <w:rFonts w:ascii="Courier" w:hAnsi="Courier"/>
        </w:rPr>
        <w:t>kplr2008102809_undershoot.txt</w:t>
      </w:r>
      <w:r w:rsidRPr="00FE442C">
        <w:t xml:space="preserve">. </w:t>
      </w:r>
      <w:r>
        <w:t xml:space="preserve">Source of Data Set:  </w:t>
      </w:r>
      <w:r w:rsidRPr="00FE442C">
        <w:t xml:space="preserve">The data </w:t>
      </w:r>
      <w:r w:rsidR="00D253CE">
        <w:t xml:space="preserve">are from </w:t>
      </w:r>
      <w:r>
        <w:t xml:space="preserve">the Charge Injection regions of 275 frame FFIs </w:t>
      </w:r>
      <w:r w:rsidRPr="00FE442C">
        <w:t xml:space="preserve">with </w:t>
      </w:r>
      <w:r>
        <w:t xml:space="preserve"> </w:t>
      </w:r>
      <w:r w:rsidRPr="00FE442C">
        <w:t>timestamp 200803140517 and 200803140837, collected during Photometer Thermal Vacuum testing, Cold Acceptance.   The results from these two data sets were averaged</w:t>
      </w:r>
      <w:r>
        <w:t xml:space="preserve"> together to give the twenty parameters of a digital forward filter, one set for each channel.  The integral of this charge-conserving </w:t>
      </w:r>
      <w:r>
        <w:sym w:font="Symbol" w:char="F064"/>
      </w:r>
      <w:r>
        <w:t xml:space="preserve">-function response is equal to the first term – 1, which is shown </w:t>
      </w:r>
      <w:r w:rsidR="00626265">
        <w:t>in the Table.  See KADN-26197 (Van Cleve, 2016</w:t>
      </w:r>
      <w:r w:rsidR="008428F2">
        <w:t>b</w:t>
      </w:r>
      <w:r w:rsidR="00626265">
        <w:t>).</w:t>
      </w:r>
    </w:p>
    <w:p w:rsidR="00404448" w:rsidRPr="00470E1A" w:rsidRDefault="00404448" w:rsidP="00404448">
      <w:r>
        <w:rPr>
          <w:b/>
        </w:rPr>
        <w:t xml:space="preserve">Well Depth </w:t>
      </w:r>
      <w:r>
        <w:t>– The well depth is the number of electrons at which the forward differential photoresponse is decreased by 2.5% compared to its small-signal value.  That is, a small change in photon input produces a change in system output that is 2.5% less than what occurs when applying that same small change t</w:t>
      </w:r>
      <w:r w:rsidR="009B039C">
        <w:t>o signals half as large or less</w:t>
      </w:r>
      <w:r w:rsidR="008428F2">
        <w:t>.  See KADN-26196 (Van Cleve, 2016a).</w:t>
      </w:r>
    </w:p>
    <w:p w:rsidR="00404448" w:rsidRPr="00993B31" w:rsidRDefault="00404448" w:rsidP="00404448">
      <w:r w:rsidRPr="00030FE4">
        <w:rPr>
          <w:b/>
        </w:rPr>
        <w:t>Rolling Band and Moiré</w:t>
      </w:r>
      <w:r>
        <w:t xml:space="preserve"> – </w:t>
      </w:r>
      <w:r w:rsidR="000B067C">
        <w:t xml:space="preserve">Estimate of intensity during Q0. </w:t>
      </w:r>
      <w:r>
        <w:t>Yellow indic</w:t>
      </w:r>
      <w:r w:rsidR="000B067C">
        <w:t>ates a rating of “medium” in</w:t>
      </w:r>
      <w:r>
        <w:t xml:space="preserve"> FFI data or visually detected in the CDPP LCC data, and red indicates “high” in the FFI data (all of which were detected visually in the CDPP LCC data).  The approximate peak-to-peak amplitude ranges corresponding to “high” Moiré amplitude is &gt; 0.06 DN/frame/pixel = 16 DN/LC/pixel.</w:t>
      </w:r>
      <w:r w:rsidR="000B067C">
        <w:t xml:space="preserve">  These estimates are </w:t>
      </w:r>
      <w:r w:rsidR="000C06A9">
        <w:t>now calculated</w:t>
      </w:r>
      <w:r w:rsidR="000B067C">
        <w:t xml:space="preserve"> by the Dynablack module (Jenkins et al., 2016) based on the methods of Kolodziejczak </w:t>
      </w:r>
      <w:r w:rsidR="000B067C" w:rsidRPr="000B067C">
        <w:rPr>
          <w:i/>
        </w:rPr>
        <w:t>et al.</w:t>
      </w:r>
      <w:r w:rsidR="000C06A9">
        <w:t xml:space="preserve"> (2010), and are presented here only to give an estimate of the prevalence of the artifact.</w:t>
      </w:r>
    </w:p>
    <w:p w:rsidR="00404448" w:rsidRDefault="00404448" w:rsidP="00404448">
      <w:pPr>
        <w:pStyle w:val="Caption"/>
        <w:keepNext/>
      </w:pPr>
      <w:bookmarkStart w:id="292" w:name="_Ref108518877"/>
      <w:bookmarkStart w:id="293" w:name="_Toc322942293"/>
      <w:r>
        <w:t xml:space="preserve">Table </w:t>
      </w:r>
      <w:fldSimple w:instr=" SEQ Table \* ARABIC ">
        <w:r w:rsidR="000D2EB4">
          <w:rPr>
            <w:noProof/>
          </w:rPr>
          <w:t>14</w:t>
        </w:r>
      </w:fldSimple>
      <w:bookmarkEnd w:id="292"/>
      <w:r>
        <w:t>:  Optical Properties of Each Channel.  EE95 is the 95% encircled</w:t>
      </w:r>
      <w:r w:rsidR="00BB3ED6">
        <w:t xml:space="preserve"> energy diameter in pixels, </w:t>
      </w:r>
      <w:r w:rsidR="008314B1">
        <w:t>BPFF (</w:t>
      </w:r>
      <w:r w:rsidR="00BB3ED6">
        <w:t>Brightest</w:t>
      </w:r>
      <w:r w:rsidR="008314B1">
        <w:t xml:space="preserve"> pix Flux Fraction)</w:t>
      </w:r>
      <w:r>
        <w:t xml:space="preserve"> is the fraction of point source flux contained in the brightest pixels of the PRF, 'Rotation' indicates the orientation.  See text for further explanation.</w:t>
      </w:r>
      <w:r w:rsidR="00D912BC">
        <w:t xml:space="preserve">  The PRFs on which this table is based have been delivered to MAST</w:t>
      </w:r>
      <w:r w:rsidR="00824080">
        <w:t xml:space="preserve"> (KAM §2.3.5.17)</w:t>
      </w:r>
      <w:r w:rsidR="00D912BC">
        <w:t>.</w:t>
      </w:r>
      <w:bookmarkEnd w:id="293"/>
    </w:p>
    <w:tbl>
      <w:tblPr>
        <w:tblW w:w="7140" w:type="dxa"/>
        <w:tblInd w:w="108" w:type="dxa"/>
        <w:tblLook w:val="0000"/>
      </w:tblPr>
      <w:tblGrid>
        <w:gridCol w:w="1141"/>
        <w:gridCol w:w="866"/>
        <w:gridCol w:w="1043"/>
        <w:gridCol w:w="1405"/>
        <w:gridCol w:w="980"/>
        <w:gridCol w:w="980"/>
        <w:gridCol w:w="725"/>
      </w:tblGrid>
      <w:tr w:rsidR="00404448" w:rsidRPr="00F415B8">
        <w:trPr>
          <w:trHeight w:val="260"/>
          <w:tblHeader/>
        </w:trPr>
        <w:tc>
          <w:tcPr>
            <w:tcW w:w="1141" w:type="dxa"/>
            <w:tcBorders>
              <w:top w:val="nil"/>
              <w:left w:val="nil"/>
              <w:bottom w:val="nil"/>
              <w:right w:val="nil"/>
            </w:tcBorders>
            <w:shd w:val="clear" w:color="auto" w:fill="auto"/>
            <w:noWrap/>
            <w:vAlign w:val="bottom"/>
          </w:tcPr>
          <w:p w:rsidR="00404448" w:rsidRPr="00F415B8" w:rsidRDefault="00404448" w:rsidP="00404448">
            <w:pPr>
              <w:spacing w:after="0"/>
              <w:jc w:val="center"/>
              <w:rPr>
                <w:rFonts w:ascii="Courier" w:hAnsi="Courier"/>
                <w:szCs w:val="22"/>
              </w:rPr>
            </w:pPr>
          </w:p>
        </w:tc>
        <w:tc>
          <w:tcPr>
            <w:tcW w:w="866" w:type="dxa"/>
            <w:tcBorders>
              <w:top w:val="nil"/>
              <w:left w:val="nil"/>
              <w:bottom w:val="nil"/>
              <w:right w:val="nil"/>
            </w:tcBorders>
            <w:shd w:val="clear" w:color="auto" w:fill="auto"/>
            <w:noWrap/>
            <w:vAlign w:val="bottom"/>
          </w:tcPr>
          <w:p w:rsidR="00404448" w:rsidRPr="00F415B8" w:rsidRDefault="00404448" w:rsidP="00404448">
            <w:pPr>
              <w:spacing w:after="0"/>
              <w:jc w:val="center"/>
              <w:rPr>
                <w:rFonts w:ascii="Courier" w:hAnsi="Courier"/>
                <w:szCs w:val="22"/>
              </w:rPr>
            </w:pPr>
          </w:p>
        </w:tc>
        <w:tc>
          <w:tcPr>
            <w:tcW w:w="1043" w:type="dxa"/>
            <w:tcBorders>
              <w:top w:val="nil"/>
              <w:left w:val="nil"/>
              <w:bottom w:val="nil"/>
              <w:right w:val="nil"/>
            </w:tcBorders>
            <w:shd w:val="clear" w:color="auto" w:fill="auto"/>
            <w:noWrap/>
            <w:vAlign w:val="bottom"/>
          </w:tcPr>
          <w:p w:rsidR="00404448" w:rsidRPr="00F415B8" w:rsidRDefault="00404448" w:rsidP="00404448">
            <w:pPr>
              <w:spacing w:after="0"/>
              <w:rPr>
                <w:rFonts w:ascii="Courier" w:hAnsi="Courier"/>
                <w:szCs w:val="22"/>
              </w:rPr>
            </w:pPr>
          </w:p>
        </w:tc>
        <w:tc>
          <w:tcPr>
            <w:tcW w:w="1405" w:type="dxa"/>
            <w:tcBorders>
              <w:top w:val="nil"/>
              <w:left w:val="nil"/>
              <w:bottom w:val="nil"/>
              <w:right w:val="nil"/>
            </w:tcBorders>
            <w:shd w:val="clear" w:color="auto" w:fill="auto"/>
            <w:noWrap/>
            <w:vAlign w:val="bottom"/>
          </w:tcPr>
          <w:p w:rsidR="00404448" w:rsidRPr="00F415B8" w:rsidRDefault="00404448" w:rsidP="00404448">
            <w:pPr>
              <w:spacing w:after="0"/>
              <w:rPr>
                <w:rFonts w:ascii="Courier" w:hAnsi="Courier"/>
                <w:szCs w:val="22"/>
              </w:rPr>
            </w:pPr>
          </w:p>
        </w:tc>
        <w:tc>
          <w:tcPr>
            <w:tcW w:w="1960" w:type="dxa"/>
            <w:gridSpan w:val="2"/>
            <w:tcBorders>
              <w:top w:val="nil"/>
              <w:left w:val="nil"/>
              <w:bottom w:val="nil"/>
              <w:right w:val="nil"/>
            </w:tcBorders>
            <w:shd w:val="clear" w:color="auto" w:fill="auto"/>
            <w:noWrap/>
            <w:vAlign w:val="bottom"/>
          </w:tcPr>
          <w:p w:rsidR="00404448" w:rsidRPr="00F415B8" w:rsidRDefault="00404448" w:rsidP="00404448">
            <w:pPr>
              <w:spacing w:after="0"/>
              <w:rPr>
                <w:rFonts w:ascii="Courier" w:hAnsi="Courier"/>
                <w:szCs w:val="22"/>
              </w:rPr>
            </w:pPr>
            <w:r w:rsidRPr="00F415B8">
              <w:rPr>
                <w:rFonts w:ascii="Courier" w:hAnsi="Courier"/>
                <w:szCs w:val="22"/>
              </w:rPr>
              <w:t>Rotation</w:t>
            </w:r>
          </w:p>
        </w:tc>
        <w:tc>
          <w:tcPr>
            <w:tcW w:w="725" w:type="dxa"/>
            <w:tcBorders>
              <w:top w:val="nil"/>
              <w:left w:val="nil"/>
              <w:bottom w:val="nil"/>
              <w:right w:val="nil"/>
            </w:tcBorders>
            <w:shd w:val="clear" w:color="auto" w:fill="auto"/>
            <w:noWrap/>
            <w:vAlign w:val="bottom"/>
          </w:tcPr>
          <w:p w:rsidR="00404448" w:rsidRPr="00F415B8" w:rsidRDefault="00404448" w:rsidP="00404448">
            <w:pPr>
              <w:spacing w:after="0"/>
              <w:rPr>
                <w:rFonts w:ascii="Courier" w:hAnsi="Courier"/>
                <w:szCs w:val="22"/>
              </w:rPr>
            </w:pPr>
          </w:p>
        </w:tc>
      </w:tr>
      <w:tr w:rsidR="00404448" w:rsidRPr="00F415B8">
        <w:trPr>
          <w:trHeight w:val="260"/>
          <w:tblHeader/>
        </w:trPr>
        <w:tc>
          <w:tcPr>
            <w:tcW w:w="1141" w:type="dxa"/>
            <w:tcBorders>
              <w:top w:val="nil"/>
              <w:left w:val="nil"/>
              <w:bottom w:val="nil"/>
              <w:right w:val="nil"/>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Mod.Out</w:t>
            </w:r>
          </w:p>
        </w:tc>
        <w:tc>
          <w:tcPr>
            <w:tcW w:w="866" w:type="dxa"/>
            <w:tcBorders>
              <w:top w:val="nil"/>
              <w:left w:val="nil"/>
              <w:bottom w:val="nil"/>
              <w:right w:val="nil"/>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Ch</w:t>
            </w:r>
          </w:p>
        </w:tc>
        <w:tc>
          <w:tcPr>
            <w:tcW w:w="1043" w:type="dxa"/>
            <w:tcBorders>
              <w:top w:val="nil"/>
              <w:left w:val="nil"/>
              <w:bottom w:val="nil"/>
              <w:right w:val="nil"/>
            </w:tcBorders>
            <w:shd w:val="clear" w:color="auto" w:fill="auto"/>
            <w:noWrap/>
            <w:vAlign w:val="bottom"/>
          </w:tcPr>
          <w:p w:rsidR="00404448" w:rsidRPr="00F415B8" w:rsidRDefault="008314B1" w:rsidP="008314B1">
            <w:pPr>
              <w:spacing w:after="0"/>
              <w:rPr>
                <w:rFonts w:ascii="Courier" w:hAnsi="Courier"/>
                <w:szCs w:val="22"/>
              </w:rPr>
            </w:pPr>
            <w:r w:rsidRPr="00F415B8">
              <w:rPr>
                <w:rFonts w:ascii="Courier" w:hAnsi="Courier"/>
                <w:szCs w:val="22"/>
              </w:rPr>
              <w:t>EE95</w:t>
            </w:r>
          </w:p>
        </w:tc>
        <w:tc>
          <w:tcPr>
            <w:tcW w:w="1405" w:type="dxa"/>
            <w:tcBorders>
              <w:top w:val="nil"/>
              <w:left w:val="nil"/>
              <w:bottom w:val="nil"/>
              <w:right w:val="nil"/>
            </w:tcBorders>
            <w:shd w:val="clear" w:color="auto" w:fill="auto"/>
            <w:noWrap/>
            <w:vAlign w:val="bottom"/>
          </w:tcPr>
          <w:p w:rsidR="00404448" w:rsidRPr="00F415B8" w:rsidRDefault="008314B1" w:rsidP="00404448">
            <w:pPr>
              <w:spacing w:after="0"/>
              <w:rPr>
                <w:rFonts w:ascii="Courier" w:hAnsi="Courier"/>
                <w:szCs w:val="22"/>
              </w:rPr>
            </w:pPr>
            <w:r w:rsidRPr="00F415B8">
              <w:rPr>
                <w:rFonts w:ascii="Courier" w:hAnsi="Courier"/>
                <w:szCs w:val="22"/>
              </w:rPr>
              <w:t>BPFF</w:t>
            </w:r>
          </w:p>
        </w:tc>
        <w:tc>
          <w:tcPr>
            <w:tcW w:w="980" w:type="dxa"/>
            <w:tcBorders>
              <w:top w:val="nil"/>
              <w:left w:val="nil"/>
              <w:bottom w:val="single" w:sz="4" w:space="0" w:color="auto"/>
              <w:right w:val="nil"/>
            </w:tcBorders>
            <w:shd w:val="clear" w:color="auto" w:fill="auto"/>
            <w:noWrap/>
            <w:vAlign w:val="bottom"/>
          </w:tcPr>
          <w:p w:rsidR="00404448" w:rsidRPr="00F415B8" w:rsidRDefault="00404448" w:rsidP="00404448">
            <w:pPr>
              <w:spacing w:after="0"/>
            </w:pPr>
            <w:r w:rsidRPr="00F415B8">
              <w:t>+Y'</w:t>
            </w:r>
          </w:p>
        </w:tc>
        <w:tc>
          <w:tcPr>
            <w:tcW w:w="980" w:type="dxa"/>
            <w:tcBorders>
              <w:top w:val="nil"/>
              <w:left w:val="nil"/>
              <w:bottom w:val="single" w:sz="4" w:space="0" w:color="auto"/>
              <w:right w:val="nil"/>
            </w:tcBorders>
            <w:shd w:val="clear" w:color="auto" w:fill="auto"/>
            <w:noWrap/>
            <w:vAlign w:val="bottom"/>
          </w:tcPr>
          <w:p w:rsidR="00404448" w:rsidRPr="00F415B8" w:rsidRDefault="00404448" w:rsidP="00404448">
            <w:pPr>
              <w:spacing w:after="0"/>
            </w:pPr>
            <w:r w:rsidRPr="00F415B8">
              <w:t>+Z'</w:t>
            </w:r>
          </w:p>
        </w:tc>
        <w:tc>
          <w:tcPr>
            <w:tcW w:w="725" w:type="dxa"/>
            <w:tcBorders>
              <w:top w:val="nil"/>
              <w:left w:val="nil"/>
              <w:bottom w:val="nil"/>
              <w:right w:val="nil"/>
            </w:tcBorders>
            <w:shd w:val="clear" w:color="auto" w:fill="auto"/>
            <w:noWrap/>
            <w:vAlign w:val="bottom"/>
          </w:tcPr>
          <w:p w:rsidR="00404448" w:rsidRPr="00F415B8" w:rsidRDefault="00404448" w:rsidP="00404448">
            <w:pPr>
              <w:spacing w:after="0"/>
              <w:rPr>
                <w:rFonts w:ascii="Courier" w:hAnsi="Courier"/>
                <w:szCs w:val="22"/>
              </w:rPr>
            </w:pPr>
            <w:r w:rsidRPr="00F415B8">
              <w:rPr>
                <w:rFonts w:ascii="Courier" w:hAnsi="Courier"/>
                <w:szCs w:val="22"/>
              </w:rPr>
              <w:t>ROT</w:t>
            </w:r>
          </w:p>
        </w:tc>
      </w:tr>
      <w:tr w:rsidR="00404448" w:rsidRPr="00F415B8">
        <w:trPr>
          <w:trHeight w:val="260"/>
        </w:trPr>
        <w:tc>
          <w:tcPr>
            <w:tcW w:w="1141"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2.1</w:t>
            </w:r>
          </w:p>
        </w:tc>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1</w:t>
            </w:r>
          </w:p>
        </w:tc>
        <w:tc>
          <w:tcPr>
            <w:tcW w:w="10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4.938</w:t>
            </w:r>
          </w:p>
        </w:tc>
        <w:tc>
          <w:tcPr>
            <w:tcW w:w="14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0.371</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+rows</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+cols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pPr>
            <w:r w:rsidRPr="00F415B8">
              <w:t>0</w:t>
            </w:r>
          </w:p>
        </w:tc>
      </w:tr>
      <w:tr w:rsidR="00404448" w:rsidRPr="00F415B8">
        <w:trPr>
          <w:trHeight w:val="260"/>
        </w:trPr>
        <w:tc>
          <w:tcPr>
            <w:tcW w:w="1141"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2.2</w:t>
            </w:r>
          </w:p>
        </w:tc>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2</w:t>
            </w:r>
          </w:p>
        </w:tc>
        <w:tc>
          <w:tcPr>
            <w:tcW w:w="10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4.457</w:t>
            </w:r>
          </w:p>
        </w:tc>
        <w:tc>
          <w:tcPr>
            <w:tcW w:w="14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0.313</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+rows</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-cols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pPr>
            <w:r w:rsidRPr="00F415B8">
              <w:t>5</w:t>
            </w:r>
          </w:p>
        </w:tc>
      </w:tr>
      <w:tr w:rsidR="00404448" w:rsidRPr="00F415B8">
        <w:trPr>
          <w:trHeight w:val="260"/>
        </w:trPr>
        <w:tc>
          <w:tcPr>
            <w:tcW w:w="1141" w:type="dxa"/>
            <w:tcBorders>
              <w:top w:val="nil"/>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2.3</w:t>
            </w:r>
          </w:p>
        </w:tc>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3</w:t>
            </w:r>
          </w:p>
        </w:tc>
        <w:tc>
          <w:tcPr>
            <w:tcW w:w="10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6.028</w:t>
            </w:r>
          </w:p>
        </w:tc>
        <w:tc>
          <w:tcPr>
            <w:tcW w:w="14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0.273</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-rows</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-cols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pPr>
            <w:r w:rsidRPr="00F415B8">
              <w:t>2</w:t>
            </w:r>
          </w:p>
        </w:tc>
      </w:tr>
      <w:tr w:rsidR="00404448" w:rsidRPr="00F415B8">
        <w:trPr>
          <w:trHeight w:val="260"/>
        </w:trPr>
        <w:tc>
          <w:tcPr>
            <w:tcW w:w="1141"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2.4</w:t>
            </w:r>
          </w:p>
        </w:tc>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4</w:t>
            </w:r>
          </w:p>
        </w:tc>
        <w:tc>
          <w:tcPr>
            <w:tcW w:w="10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6.766</w:t>
            </w:r>
          </w:p>
        </w:tc>
        <w:tc>
          <w:tcPr>
            <w:tcW w:w="14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0.280</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-rows</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+cols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pPr>
            <w:r w:rsidRPr="00F415B8">
              <w:t>7</w:t>
            </w:r>
          </w:p>
        </w:tc>
      </w:tr>
      <w:tr w:rsidR="00404448" w:rsidRPr="00F415B8">
        <w:trPr>
          <w:trHeight w:val="260"/>
        </w:trPr>
        <w:tc>
          <w:tcPr>
            <w:tcW w:w="1141"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3.1</w:t>
            </w:r>
          </w:p>
        </w:tc>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5</w:t>
            </w:r>
          </w:p>
        </w:tc>
        <w:tc>
          <w:tcPr>
            <w:tcW w:w="10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3.752</w:t>
            </w:r>
          </w:p>
        </w:tc>
        <w:tc>
          <w:tcPr>
            <w:tcW w:w="14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0.519</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+rows</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+cols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pPr>
            <w:r w:rsidRPr="00F415B8">
              <w:t>0</w:t>
            </w:r>
          </w:p>
        </w:tc>
      </w:tr>
      <w:tr w:rsidR="00404448" w:rsidRPr="00F415B8">
        <w:trPr>
          <w:trHeight w:val="260"/>
        </w:trPr>
        <w:tc>
          <w:tcPr>
            <w:tcW w:w="1141"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3.2</w:t>
            </w:r>
          </w:p>
        </w:tc>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6</w:t>
            </w:r>
          </w:p>
        </w:tc>
        <w:tc>
          <w:tcPr>
            <w:tcW w:w="10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4.040</w:t>
            </w:r>
          </w:p>
        </w:tc>
        <w:tc>
          <w:tcPr>
            <w:tcW w:w="14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0.468</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+rows</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-cols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pPr>
            <w:r w:rsidRPr="00F415B8">
              <w:t>5</w:t>
            </w:r>
          </w:p>
        </w:tc>
      </w:tr>
      <w:tr w:rsidR="00404448" w:rsidRPr="00F415B8">
        <w:trPr>
          <w:trHeight w:val="260"/>
        </w:trPr>
        <w:tc>
          <w:tcPr>
            <w:tcW w:w="1141"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3.3</w:t>
            </w:r>
          </w:p>
        </w:tc>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7</w:t>
            </w:r>
          </w:p>
        </w:tc>
        <w:tc>
          <w:tcPr>
            <w:tcW w:w="10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5.259</w:t>
            </w:r>
          </w:p>
        </w:tc>
        <w:tc>
          <w:tcPr>
            <w:tcW w:w="14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0.385</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-rows</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-cols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pPr>
            <w:r w:rsidRPr="00F415B8">
              <w:t>2</w:t>
            </w:r>
          </w:p>
        </w:tc>
      </w:tr>
      <w:tr w:rsidR="00404448" w:rsidRPr="00F415B8">
        <w:trPr>
          <w:trHeight w:val="260"/>
        </w:trPr>
        <w:tc>
          <w:tcPr>
            <w:tcW w:w="1141"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3.4</w:t>
            </w:r>
          </w:p>
        </w:tc>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8</w:t>
            </w:r>
          </w:p>
        </w:tc>
        <w:tc>
          <w:tcPr>
            <w:tcW w:w="10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4.970</w:t>
            </w:r>
          </w:p>
        </w:tc>
        <w:tc>
          <w:tcPr>
            <w:tcW w:w="14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0.424</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-rows</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+cols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pPr>
            <w:r w:rsidRPr="00F415B8">
              <w:t>7</w:t>
            </w:r>
          </w:p>
        </w:tc>
      </w:tr>
      <w:tr w:rsidR="00404448" w:rsidRPr="00F415B8">
        <w:trPr>
          <w:trHeight w:val="260"/>
        </w:trPr>
        <w:tc>
          <w:tcPr>
            <w:tcW w:w="1141"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4.1</w:t>
            </w:r>
          </w:p>
        </w:tc>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9</w:t>
            </w:r>
          </w:p>
        </w:tc>
        <w:tc>
          <w:tcPr>
            <w:tcW w:w="10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3.687</w:t>
            </w:r>
          </w:p>
        </w:tc>
        <w:tc>
          <w:tcPr>
            <w:tcW w:w="14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0.516</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+rows</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+cols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pPr>
            <w:r w:rsidRPr="00F415B8">
              <w:t>0</w:t>
            </w:r>
          </w:p>
        </w:tc>
      </w:tr>
      <w:tr w:rsidR="00404448" w:rsidRPr="00F415B8">
        <w:trPr>
          <w:trHeight w:val="260"/>
        </w:trPr>
        <w:tc>
          <w:tcPr>
            <w:tcW w:w="1141"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4.2</w:t>
            </w:r>
          </w:p>
        </w:tc>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10</w:t>
            </w:r>
          </w:p>
        </w:tc>
        <w:tc>
          <w:tcPr>
            <w:tcW w:w="10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4.810</w:t>
            </w:r>
          </w:p>
        </w:tc>
        <w:tc>
          <w:tcPr>
            <w:tcW w:w="14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0.406</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+rows</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-cols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pPr>
            <w:r w:rsidRPr="00F415B8">
              <w:t>5</w:t>
            </w:r>
          </w:p>
        </w:tc>
      </w:tr>
      <w:tr w:rsidR="00404448" w:rsidRPr="00F415B8">
        <w:trPr>
          <w:trHeight w:val="260"/>
        </w:trPr>
        <w:tc>
          <w:tcPr>
            <w:tcW w:w="1141"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4.3</w:t>
            </w:r>
          </w:p>
        </w:tc>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11</w:t>
            </w:r>
          </w:p>
        </w:tc>
        <w:tc>
          <w:tcPr>
            <w:tcW w:w="10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6.862</w:t>
            </w:r>
          </w:p>
        </w:tc>
        <w:tc>
          <w:tcPr>
            <w:tcW w:w="14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0.293</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-rows</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-cols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pPr>
            <w:r w:rsidRPr="00F415B8">
              <w:t>2</w:t>
            </w:r>
          </w:p>
        </w:tc>
      </w:tr>
      <w:tr w:rsidR="00404448" w:rsidRPr="00F415B8">
        <w:trPr>
          <w:trHeight w:val="260"/>
        </w:trPr>
        <w:tc>
          <w:tcPr>
            <w:tcW w:w="1141"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4.4</w:t>
            </w:r>
          </w:p>
        </w:tc>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12</w:t>
            </w:r>
          </w:p>
        </w:tc>
        <w:tc>
          <w:tcPr>
            <w:tcW w:w="10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5.323</w:t>
            </w:r>
          </w:p>
        </w:tc>
        <w:tc>
          <w:tcPr>
            <w:tcW w:w="14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0.435</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-rows</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+cols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pPr>
            <w:r w:rsidRPr="00F415B8">
              <w:t>7</w:t>
            </w:r>
          </w:p>
        </w:tc>
      </w:tr>
      <w:tr w:rsidR="00404448" w:rsidRPr="00F415B8">
        <w:trPr>
          <w:trHeight w:val="260"/>
        </w:trPr>
        <w:tc>
          <w:tcPr>
            <w:tcW w:w="1141"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6.1</w:t>
            </w:r>
          </w:p>
        </w:tc>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13</w:t>
            </w:r>
          </w:p>
        </w:tc>
        <w:tc>
          <w:tcPr>
            <w:tcW w:w="10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4.361</w:t>
            </w:r>
          </w:p>
        </w:tc>
        <w:tc>
          <w:tcPr>
            <w:tcW w:w="14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0.403</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+cols</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-rows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pPr>
            <w:r w:rsidRPr="00F415B8">
              <w:t>1</w:t>
            </w:r>
          </w:p>
        </w:tc>
      </w:tr>
      <w:tr w:rsidR="00404448" w:rsidRPr="00F415B8">
        <w:trPr>
          <w:trHeight w:val="260"/>
        </w:trPr>
        <w:tc>
          <w:tcPr>
            <w:tcW w:w="1141"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6.2</w:t>
            </w:r>
          </w:p>
        </w:tc>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14</w:t>
            </w:r>
          </w:p>
        </w:tc>
        <w:tc>
          <w:tcPr>
            <w:tcW w:w="10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4.553</w:t>
            </w:r>
          </w:p>
        </w:tc>
        <w:tc>
          <w:tcPr>
            <w:tcW w:w="14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0.392</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-cols</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-rows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pPr>
            <w:r w:rsidRPr="00F415B8">
              <w:t>6</w:t>
            </w:r>
          </w:p>
        </w:tc>
      </w:tr>
      <w:tr w:rsidR="00404448" w:rsidRPr="00F415B8">
        <w:trPr>
          <w:trHeight w:val="260"/>
        </w:trPr>
        <w:tc>
          <w:tcPr>
            <w:tcW w:w="1141"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6.3</w:t>
            </w:r>
          </w:p>
        </w:tc>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15</w:t>
            </w:r>
          </w:p>
        </w:tc>
        <w:tc>
          <w:tcPr>
            <w:tcW w:w="10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5.868</w:t>
            </w:r>
          </w:p>
        </w:tc>
        <w:tc>
          <w:tcPr>
            <w:tcW w:w="14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0.448</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-cols</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+rows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pPr>
            <w:r w:rsidRPr="00F415B8">
              <w:t>3</w:t>
            </w:r>
          </w:p>
        </w:tc>
      </w:tr>
      <w:tr w:rsidR="00404448" w:rsidRPr="00F415B8">
        <w:trPr>
          <w:trHeight w:val="260"/>
        </w:trPr>
        <w:tc>
          <w:tcPr>
            <w:tcW w:w="1141"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6.4</w:t>
            </w:r>
          </w:p>
        </w:tc>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16</w:t>
            </w:r>
          </w:p>
        </w:tc>
        <w:tc>
          <w:tcPr>
            <w:tcW w:w="10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5.066</w:t>
            </w:r>
          </w:p>
        </w:tc>
        <w:tc>
          <w:tcPr>
            <w:tcW w:w="14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0.463</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+cols</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+rows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pPr>
            <w:r w:rsidRPr="00F415B8">
              <w:t>4</w:t>
            </w:r>
          </w:p>
        </w:tc>
      </w:tr>
      <w:tr w:rsidR="00404448" w:rsidRPr="00F415B8">
        <w:trPr>
          <w:trHeight w:val="260"/>
        </w:trPr>
        <w:tc>
          <w:tcPr>
            <w:tcW w:w="1141"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7.1</w:t>
            </w:r>
          </w:p>
        </w:tc>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17</w:t>
            </w:r>
          </w:p>
        </w:tc>
        <w:tc>
          <w:tcPr>
            <w:tcW w:w="10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3.335</w:t>
            </w:r>
          </w:p>
        </w:tc>
        <w:tc>
          <w:tcPr>
            <w:tcW w:w="14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0.524</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+rows</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+cols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pPr>
            <w:r w:rsidRPr="00F415B8">
              <w:t>0</w:t>
            </w:r>
          </w:p>
        </w:tc>
      </w:tr>
      <w:tr w:rsidR="00404448" w:rsidRPr="00F415B8">
        <w:trPr>
          <w:trHeight w:val="260"/>
        </w:trPr>
        <w:tc>
          <w:tcPr>
            <w:tcW w:w="1141"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7.2</w:t>
            </w:r>
          </w:p>
        </w:tc>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18</w:t>
            </w:r>
          </w:p>
        </w:tc>
        <w:tc>
          <w:tcPr>
            <w:tcW w:w="10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3.687</w:t>
            </w:r>
          </w:p>
        </w:tc>
        <w:tc>
          <w:tcPr>
            <w:tcW w:w="14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0.456</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+rows</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-cols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pPr>
            <w:r w:rsidRPr="00F415B8">
              <w:t>5</w:t>
            </w:r>
          </w:p>
        </w:tc>
      </w:tr>
      <w:tr w:rsidR="00404448" w:rsidRPr="00F415B8">
        <w:trPr>
          <w:trHeight w:val="260"/>
        </w:trPr>
        <w:tc>
          <w:tcPr>
            <w:tcW w:w="1141"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7.3</w:t>
            </w:r>
          </w:p>
        </w:tc>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19</w:t>
            </w:r>
          </w:p>
        </w:tc>
        <w:tc>
          <w:tcPr>
            <w:tcW w:w="10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3.752</w:t>
            </w:r>
          </w:p>
        </w:tc>
        <w:tc>
          <w:tcPr>
            <w:tcW w:w="14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0.448</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-rows</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-cols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pPr>
            <w:r w:rsidRPr="00F415B8">
              <w:t>2</w:t>
            </w:r>
          </w:p>
        </w:tc>
      </w:tr>
      <w:tr w:rsidR="00404448" w:rsidRPr="00F415B8">
        <w:trPr>
          <w:trHeight w:val="260"/>
        </w:trPr>
        <w:tc>
          <w:tcPr>
            <w:tcW w:w="1141"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7.4</w:t>
            </w:r>
          </w:p>
        </w:tc>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20</w:t>
            </w:r>
          </w:p>
        </w:tc>
        <w:tc>
          <w:tcPr>
            <w:tcW w:w="10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3.944</w:t>
            </w:r>
          </w:p>
        </w:tc>
        <w:tc>
          <w:tcPr>
            <w:tcW w:w="14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0.507</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-rows</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+cols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pPr>
            <w:r w:rsidRPr="00F415B8">
              <w:t>7</w:t>
            </w:r>
          </w:p>
        </w:tc>
      </w:tr>
      <w:tr w:rsidR="00404448" w:rsidRPr="00F415B8">
        <w:trPr>
          <w:trHeight w:val="260"/>
        </w:trPr>
        <w:tc>
          <w:tcPr>
            <w:tcW w:w="1141"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8.1</w:t>
            </w:r>
          </w:p>
        </w:tc>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21</w:t>
            </w:r>
          </w:p>
        </w:tc>
        <w:tc>
          <w:tcPr>
            <w:tcW w:w="10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3.463</w:t>
            </w:r>
          </w:p>
        </w:tc>
        <w:tc>
          <w:tcPr>
            <w:tcW w:w="14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0.530</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+rows</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+cols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pPr>
            <w:r w:rsidRPr="00F415B8">
              <w:t>0</w:t>
            </w:r>
          </w:p>
        </w:tc>
      </w:tr>
      <w:tr w:rsidR="00404448" w:rsidRPr="00F415B8">
        <w:trPr>
          <w:trHeight w:val="260"/>
        </w:trPr>
        <w:tc>
          <w:tcPr>
            <w:tcW w:w="1141"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8.2</w:t>
            </w:r>
          </w:p>
        </w:tc>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22</w:t>
            </w:r>
          </w:p>
        </w:tc>
        <w:tc>
          <w:tcPr>
            <w:tcW w:w="10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3.752</w:t>
            </w:r>
          </w:p>
        </w:tc>
        <w:tc>
          <w:tcPr>
            <w:tcW w:w="14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0.500</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+rows</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-cols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pPr>
            <w:r w:rsidRPr="00F415B8">
              <w:t>5</w:t>
            </w:r>
          </w:p>
        </w:tc>
      </w:tr>
      <w:tr w:rsidR="00404448" w:rsidRPr="00F415B8">
        <w:trPr>
          <w:trHeight w:val="260"/>
        </w:trPr>
        <w:tc>
          <w:tcPr>
            <w:tcW w:w="1141"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8.3</w:t>
            </w:r>
          </w:p>
        </w:tc>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23</w:t>
            </w:r>
          </w:p>
        </w:tc>
        <w:tc>
          <w:tcPr>
            <w:tcW w:w="10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3.687</w:t>
            </w:r>
          </w:p>
        </w:tc>
        <w:tc>
          <w:tcPr>
            <w:tcW w:w="14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0.510</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-rows</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-cols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pPr>
            <w:r w:rsidRPr="00F415B8">
              <w:t>2</w:t>
            </w:r>
          </w:p>
        </w:tc>
      </w:tr>
      <w:tr w:rsidR="00404448" w:rsidRPr="00F415B8">
        <w:trPr>
          <w:trHeight w:val="260"/>
        </w:trPr>
        <w:tc>
          <w:tcPr>
            <w:tcW w:w="1141"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8.4</w:t>
            </w:r>
          </w:p>
        </w:tc>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24</w:t>
            </w:r>
          </w:p>
        </w:tc>
        <w:tc>
          <w:tcPr>
            <w:tcW w:w="10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3.271</w:t>
            </w:r>
          </w:p>
        </w:tc>
        <w:tc>
          <w:tcPr>
            <w:tcW w:w="14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0.570</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-rows</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+cols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pPr>
            <w:r w:rsidRPr="00F415B8">
              <w:t>7</w:t>
            </w:r>
          </w:p>
        </w:tc>
      </w:tr>
      <w:tr w:rsidR="00404448" w:rsidRPr="00F415B8">
        <w:trPr>
          <w:trHeight w:val="260"/>
        </w:trPr>
        <w:tc>
          <w:tcPr>
            <w:tcW w:w="1141"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9.1</w:t>
            </w:r>
          </w:p>
        </w:tc>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25</w:t>
            </w:r>
          </w:p>
        </w:tc>
        <w:tc>
          <w:tcPr>
            <w:tcW w:w="10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3.495</w:t>
            </w:r>
          </w:p>
        </w:tc>
        <w:tc>
          <w:tcPr>
            <w:tcW w:w="14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0.558</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-cols</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+rows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pPr>
            <w:r w:rsidRPr="00F415B8">
              <w:t>3</w:t>
            </w:r>
          </w:p>
        </w:tc>
      </w:tr>
      <w:tr w:rsidR="00404448" w:rsidRPr="00F415B8">
        <w:trPr>
          <w:trHeight w:val="260"/>
        </w:trPr>
        <w:tc>
          <w:tcPr>
            <w:tcW w:w="1141"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9.2</w:t>
            </w:r>
          </w:p>
        </w:tc>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26</w:t>
            </w:r>
          </w:p>
        </w:tc>
        <w:tc>
          <w:tcPr>
            <w:tcW w:w="10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3.142</w:t>
            </w:r>
          </w:p>
        </w:tc>
        <w:tc>
          <w:tcPr>
            <w:tcW w:w="14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0.606</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+cols</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+rows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pPr>
            <w:r w:rsidRPr="00F415B8">
              <w:t>4</w:t>
            </w:r>
          </w:p>
        </w:tc>
      </w:tr>
      <w:tr w:rsidR="00404448" w:rsidRPr="00F415B8">
        <w:trPr>
          <w:trHeight w:val="260"/>
        </w:trPr>
        <w:tc>
          <w:tcPr>
            <w:tcW w:w="1141"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9.3</w:t>
            </w:r>
          </w:p>
        </w:tc>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27</w:t>
            </w:r>
          </w:p>
        </w:tc>
        <w:tc>
          <w:tcPr>
            <w:tcW w:w="10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3.591</w:t>
            </w:r>
          </w:p>
        </w:tc>
        <w:tc>
          <w:tcPr>
            <w:tcW w:w="14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0.529</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+cols</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-rows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pPr>
            <w:r w:rsidRPr="00F415B8">
              <w:t>1</w:t>
            </w:r>
          </w:p>
        </w:tc>
      </w:tr>
      <w:tr w:rsidR="00404448" w:rsidRPr="00F415B8">
        <w:trPr>
          <w:trHeight w:val="260"/>
        </w:trPr>
        <w:tc>
          <w:tcPr>
            <w:tcW w:w="1141"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9.4</w:t>
            </w:r>
          </w:p>
        </w:tc>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28</w:t>
            </w:r>
          </w:p>
        </w:tc>
        <w:tc>
          <w:tcPr>
            <w:tcW w:w="10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4.297</w:t>
            </w:r>
          </w:p>
        </w:tc>
        <w:tc>
          <w:tcPr>
            <w:tcW w:w="14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0.480</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-cols</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-rows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pPr>
            <w:r w:rsidRPr="00F415B8">
              <w:t>6</w:t>
            </w:r>
          </w:p>
        </w:tc>
      </w:tr>
      <w:tr w:rsidR="00404448" w:rsidRPr="00F415B8">
        <w:trPr>
          <w:trHeight w:val="260"/>
        </w:trPr>
        <w:tc>
          <w:tcPr>
            <w:tcW w:w="1141"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10.1</w:t>
            </w:r>
          </w:p>
        </w:tc>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29</w:t>
            </w:r>
          </w:p>
        </w:tc>
        <w:tc>
          <w:tcPr>
            <w:tcW w:w="10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5.098</w:t>
            </w:r>
          </w:p>
        </w:tc>
        <w:tc>
          <w:tcPr>
            <w:tcW w:w="14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0.419</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-cols</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+rows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pPr>
            <w:r w:rsidRPr="00F415B8">
              <w:t>3</w:t>
            </w:r>
          </w:p>
        </w:tc>
      </w:tr>
      <w:tr w:rsidR="00404448" w:rsidRPr="00F415B8">
        <w:trPr>
          <w:trHeight w:val="260"/>
        </w:trPr>
        <w:tc>
          <w:tcPr>
            <w:tcW w:w="1141"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10.2</w:t>
            </w:r>
          </w:p>
        </w:tc>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30</w:t>
            </w:r>
          </w:p>
        </w:tc>
        <w:tc>
          <w:tcPr>
            <w:tcW w:w="10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3.976</w:t>
            </w:r>
          </w:p>
        </w:tc>
        <w:tc>
          <w:tcPr>
            <w:tcW w:w="14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0.495</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+cols</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+rows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pPr>
            <w:r w:rsidRPr="00F415B8">
              <w:t>4</w:t>
            </w:r>
          </w:p>
        </w:tc>
      </w:tr>
      <w:tr w:rsidR="00404448" w:rsidRPr="00F415B8">
        <w:trPr>
          <w:trHeight w:val="260"/>
        </w:trPr>
        <w:tc>
          <w:tcPr>
            <w:tcW w:w="1141"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10.3</w:t>
            </w:r>
          </w:p>
        </w:tc>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31</w:t>
            </w:r>
          </w:p>
        </w:tc>
        <w:tc>
          <w:tcPr>
            <w:tcW w:w="10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5.836</w:t>
            </w:r>
          </w:p>
        </w:tc>
        <w:tc>
          <w:tcPr>
            <w:tcW w:w="14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0.387</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+cols</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-rows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pPr>
            <w:r w:rsidRPr="00F415B8">
              <w:t>1</w:t>
            </w:r>
          </w:p>
        </w:tc>
      </w:tr>
      <w:tr w:rsidR="00404448" w:rsidRPr="00F415B8">
        <w:trPr>
          <w:trHeight w:val="260"/>
        </w:trPr>
        <w:tc>
          <w:tcPr>
            <w:tcW w:w="1141"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10.4</w:t>
            </w:r>
          </w:p>
        </w:tc>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32</w:t>
            </w:r>
          </w:p>
        </w:tc>
        <w:tc>
          <w:tcPr>
            <w:tcW w:w="10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7.535</w:t>
            </w:r>
          </w:p>
        </w:tc>
        <w:tc>
          <w:tcPr>
            <w:tcW w:w="14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0.276</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-cols</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-rows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pPr>
            <w:r w:rsidRPr="00F415B8">
              <w:t>6</w:t>
            </w:r>
          </w:p>
        </w:tc>
      </w:tr>
      <w:tr w:rsidR="00404448" w:rsidRPr="00F415B8">
        <w:trPr>
          <w:trHeight w:val="260"/>
        </w:trPr>
        <w:tc>
          <w:tcPr>
            <w:tcW w:w="1141"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11.1</w:t>
            </w:r>
          </w:p>
        </w:tc>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33</w:t>
            </w:r>
          </w:p>
        </w:tc>
        <w:tc>
          <w:tcPr>
            <w:tcW w:w="10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4.136</w:t>
            </w:r>
          </w:p>
        </w:tc>
        <w:tc>
          <w:tcPr>
            <w:tcW w:w="14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0.386</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+cols</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-rows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pPr>
            <w:r w:rsidRPr="00F415B8">
              <w:t>1</w:t>
            </w:r>
          </w:p>
        </w:tc>
      </w:tr>
      <w:tr w:rsidR="00404448" w:rsidRPr="00F415B8">
        <w:trPr>
          <w:trHeight w:val="260"/>
        </w:trPr>
        <w:tc>
          <w:tcPr>
            <w:tcW w:w="1141"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11.2</w:t>
            </w:r>
          </w:p>
        </w:tc>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34</w:t>
            </w:r>
          </w:p>
        </w:tc>
        <w:tc>
          <w:tcPr>
            <w:tcW w:w="10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4.072</w:t>
            </w:r>
          </w:p>
        </w:tc>
        <w:tc>
          <w:tcPr>
            <w:tcW w:w="14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0.398</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-cols</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-rows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pPr>
            <w:r w:rsidRPr="00F415B8">
              <w:t>6</w:t>
            </w:r>
          </w:p>
        </w:tc>
      </w:tr>
      <w:tr w:rsidR="00404448" w:rsidRPr="00F415B8">
        <w:trPr>
          <w:trHeight w:val="260"/>
        </w:trPr>
        <w:tc>
          <w:tcPr>
            <w:tcW w:w="1141"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11.3</w:t>
            </w:r>
          </w:p>
        </w:tc>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35</w:t>
            </w:r>
          </w:p>
        </w:tc>
        <w:tc>
          <w:tcPr>
            <w:tcW w:w="10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4.778</w:t>
            </w:r>
          </w:p>
        </w:tc>
        <w:tc>
          <w:tcPr>
            <w:tcW w:w="14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0.434</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-cols</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+rows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pPr>
            <w:r w:rsidRPr="00F415B8">
              <w:t>3</w:t>
            </w:r>
          </w:p>
        </w:tc>
      </w:tr>
      <w:tr w:rsidR="00404448" w:rsidRPr="00F415B8">
        <w:trPr>
          <w:trHeight w:val="260"/>
        </w:trPr>
        <w:tc>
          <w:tcPr>
            <w:tcW w:w="1141"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11.4</w:t>
            </w:r>
          </w:p>
        </w:tc>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36</w:t>
            </w:r>
          </w:p>
        </w:tc>
        <w:tc>
          <w:tcPr>
            <w:tcW w:w="10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5.066</w:t>
            </w:r>
          </w:p>
        </w:tc>
        <w:tc>
          <w:tcPr>
            <w:tcW w:w="14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0.427</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+cols</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+rows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pPr>
            <w:r w:rsidRPr="00F415B8">
              <w:t>4</w:t>
            </w:r>
          </w:p>
        </w:tc>
      </w:tr>
      <w:tr w:rsidR="00404448" w:rsidRPr="00F415B8">
        <w:trPr>
          <w:trHeight w:val="260"/>
        </w:trPr>
        <w:tc>
          <w:tcPr>
            <w:tcW w:w="1141"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12.1</w:t>
            </w:r>
          </w:p>
        </w:tc>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37</w:t>
            </w:r>
          </w:p>
        </w:tc>
        <w:tc>
          <w:tcPr>
            <w:tcW w:w="10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4.521</w:t>
            </w:r>
          </w:p>
        </w:tc>
        <w:tc>
          <w:tcPr>
            <w:tcW w:w="14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0.381</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+cols</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-rows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pPr>
            <w:r w:rsidRPr="00F415B8">
              <w:t>1</w:t>
            </w:r>
          </w:p>
        </w:tc>
      </w:tr>
      <w:tr w:rsidR="00404448" w:rsidRPr="00F415B8">
        <w:trPr>
          <w:trHeight w:val="260"/>
        </w:trPr>
        <w:tc>
          <w:tcPr>
            <w:tcW w:w="1141"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12.2</w:t>
            </w:r>
          </w:p>
        </w:tc>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38</w:t>
            </w:r>
          </w:p>
        </w:tc>
        <w:tc>
          <w:tcPr>
            <w:tcW w:w="10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4.649</w:t>
            </w:r>
          </w:p>
        </w:tc>
        <w:tc>
          <w:tcPr>
            <w:tcW w:w="14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0.375</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-cols</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-rows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pPr>
            <w:r w:rsidRPr="00F415B8">
              <w:t>6</w:t>
            </w:r>
          </w:p>
        </w:tc>
      </w:tr>
      <w:tr w:rsidR="00404448" w:rsidRPr="00F415B8">
        <w:trPr>
          <w:trHeight w:val="260"/>
        </w:trPr>
        <w:tc>
          <w:tcPr>
            <w:tcW w:w="1141"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12.3</w:t>
            </w:r>
          </w:p>
        </w:tc>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39</w:t>
            </w:r>
          </w:p>
        </w:tc>
        <w:tc>
          <w:tcPr>
            <w:tcW w:w="10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3.752</w:t>
            </w:r>
          </w:p>
        </w:tc>
        <w:tc>
          <w:tcPr>
            <w:tcW w:w="14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0.499</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-cols</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+rows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pPr>
            <w:r w:rsidRPr="00F415B8">
              <w:t>3</w:t>
            </w:r>
          </w:p>
        </w:tc>
      </w:tr>
      <w:tr w:rsidR="00404448" w:rsidRPr="00F415B8">
        <w:trPr>
          <w:trHeight w:val="260"/>
        </w:trPr>
        <w:tc>
          <w:tcPr>
            <w:tcW w:w="1141"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12.4</w:t>
            </w:r>
          </w:p>
        </w:tc>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40</w:t>
            </w:r>
          </w:p>
        </w:tc>
        <w:tc>
          <w:tcPr>
            <w:tcW w:w="10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3.655</w:t>
            </w:r>
          </w:p>
        </w:tc>
        <w:tc>
          <w:tcPr>
            <w:tcW w:w="14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0.509</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+cols</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+rows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pPr>
            <w:r w:rsidRPr="00F415B8">
              <w:t>4</w:t>
            </w:r>
          </w:p>
        </w:tc>
      </w:tr>
      <w:tr w:rsidR="00404448" w:rsidRPr="00F415B8">
        <w:trPr>
          <w:trHeight w:val="260"/>
        </w:trPr>
        <w:tc>
          <w:tcPr>
            <w:tcW w:w="1141"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13.1</w:t>
            </w:r>
          </w:p>
        </w:tc>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41</w:t>
            </w:r>
          </w:p>
        </w:tc>
        <w:tc>
          <w:tcPr>
            <w:tcW w:w="10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4.585</w:t>
            </w:r>
          </w:p>
        </w:tc>
        <w:tc>
          <w:tcPr>
            <w:tcW w:w="14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0.400</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+cols</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-rows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pPr>
            <w:r w:rsidRPr="00F415B8">
              <w:t>1</w:t>
            </w:r>
          </w:p>
        </w:tc>
      </w:tr>
      <w:tr w:rsidR="00404448" w:rsidRPr="00F415B8">
        <w:trPr>
          <w:trHeight w:val="260"/>
        </w:trPr>
        <w:tc>
          <w:tcPr>
            <w:tcW w:w="1141"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13.2</w:t>
            </w:r>
          </w:p>
        </w:tc>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42</w:t>
            </w:r>
          </w:p>
        </w:tc>
        <w:tc>
          <w:tcPr>
            <w:tcW w:w="10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4.232</w:t>
            </w:r>
          </w:p>
        </w:tc>
        <w:tc>
          <w:tcPr>
            <w:tcW w:w="14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0.414</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-cols</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-rows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pPr>
            <w:r w:rsidRPr="00F415B8">
              <w:t>6</w:t>
            </w:r>
          </w:p>
        </w:tc>
      </w:tr>
      <w:tr w:rsidR="00404448" w:rsidRPr="00F415B8">
        <w:trPr>
          <w:trHeight w:val="260"/>
        </w:trPr>
        <w:tc>
          <w:tcPr>
            <w:tcW w:w="1141"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13.3</w:t>
            </w:r>
          </w:p>
        </w:tc>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43</w:t>
            </w:r>
          </w:p>
        </w:tc>
        <w:tc>
          <w:tcPr>
            <w:tcW w:w="10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4.104</w:t>
            </w:r>
          </w:p>
        </w:tc>
        <w:tc>
          <w:tcPr>
            <w:tcW w:w="14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0.448</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-cols</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+rows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pPr>
            <w:r w:rsidRPr="00F415B8">
              <w:t>3</w:t>
            </w:r>
          </w:p>
        </w:tc>
      </w:tr>
      <w:tr w:rsidR="00404448" w:rsidRPr="00F415B8">
        <w:trPr>
          <w:trHeight w:val="260"/>
        </w:trPr>
        <w:tc>
          <w:tcPr>
            <w:tcW w:w="1141"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13.4</w:t>
            </w:r>
          </w:p>
        </w:tc>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44</w:t>
            </w:r>
          </w:p>
        </w:tc>
        <w:tc>
          <w:tcPr>
            <w:tcW w:w="10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4.104</w:t>
            </w:r>
          </w:p>
        </w:tc>
        <w:tc>
          <w:tcPr>
            <w:tcW w:w="14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0.443</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+cols</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+rows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pPr>
            <w:r w:rsidRPr="00F415B8">
              <w:t>4</w:t>
            </w:r>
          </w:p>
        </w:tc>
      </w:tr>
      <w:tr w:rsidR="00404448" w:rsidRPr="00F415B8">
        <w:trPr>
          <w:trHeight w:val="260"/>
        </w:trPr>
        <w:tc>
          <w:tcPr>
            <w:tcW w:w="1141"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14.1</w:t>
            </w:r>
          </w:p>
        </w:tc>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45</w:t>
            </w:r>
          </w:p>
        </w:tc>
        <w:tc>
          <w:tcPr>
            <w:tcW w:w="10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3.367</w:t>
            </w:r>
          </w:p>
        </w:tc>
        <w:tc>
          <w:tcPr>
            <w:tcW w:w="14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0.578</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-cols</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+rows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pPr>
            <w:r w:rsidRPr="00F415B8">
              <w:t>3</w:t>
            </w:r>
          </w:p>
        </w:tc>
      </w:tr>
      <w:tr w:rsidR="00404448" w:rsidRPr="00F415B8">
        <w:trPr>
          <w:trHeight w:val="260"/>
        </w:trPr>
        <w:tc>
          <w:tcPr>
            <w:tcW w:w="1141"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14.2</w:t>
            </w:r>
          </w:p>
        </w:tc>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46</w:t>
            </w:r>
          </w:p>
        </w:tc>
        <w:tc>
          <w:tcPr>
            <w:tcW w:w="10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3.206</w:t>
            </w:r>
          </w:p>
        </w:tc>
        <w:tc>
          <w:tcPr>
            <w:tcW w:w="14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0.603</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+cols</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+rows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pPr>
            <w:r w:rsidRPr="00F415B8">
              <w:t>4</w:t>
            </w:r>
          </w:p>
        </w:tc>
      </w:tr>
      <w:tr w:rsidR="00404448" w:rsidRPr="00F415B8">
        <w:trPr>
          <w:trHeight w:val="260"/>
        </w:trPr>
        <w:tc>
          <w:tcPr>
            <w:tcW w:w="1141"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14.3</w:t>
            </w:r>
          </w:p>
        </w:tc>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47</w:t>
            </w:r>
          </w:p>
        </w:tc>
        <w:tc>
          <w:tcPr>
            <w:tcW w:w="10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3.495</w:t>
            </w:r>
          </w:p>
        </w:tc>
        <w:tc>
          <w:tcPr>
            <w:tcW w:w="14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0.505</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+cols</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-rows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pPr>
            <w:r w:rsidRPr="00F415B8">
              <w:t>1</w:t>
            </w:r>
          </w:p>
        </w:tc>
      </w:tr>
      <w:tr w:rsidR="00404448" w:rsidRPr="00F415B8">
        <w:trPr>
          <w:trHeight w:val="260"/>
        </w:trPr>
        <w:tc>
          <w:tcPr>
            <w:tcW w:w="1141"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14.4</w:t>
            </w:r>
          </w:p>
        </w:tc>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48</w:t>
            </w:r>
          </w:p>
        </w:tc>
        <w:tc>
          <w:tcPr>
            <w:tcW w:w="10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3.527</w:t>
            </w:r>
          </w:p>
        </w:tc>
        <w:tc>
          <w:tcPr>
            <w:tcW w:w="14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0.503</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-cols</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-rows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pPr>
            <w:r w:rsidRPr="00F415B8">
              <w:t>6</w:t>
            </w:r>
          </w:p>
        </w:tc>
      </w:tr>
      <w:tr w:rsidR="00404448" w:rsidRPr="00F415B8">
        <w:trPr>
          <w:trHeight w:val="260"/>
        </w:trPr>
        <w:tc>
          <w:tcPr>
            <w:tcW w:w="1141"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15.1</w:t>
            </w:r>
          </w:p>
        </w:tc>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49</w:t>
            </w:r>
          </w:p>
        </w:tc>
        <w:tc>
          <w:tcPr>
            <w:tcW w:w="10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3.816</w:t>
            </w:r>
          </w:p>
        </w:tc>
        <w:tc>
          <w:tcPr>
            <w:tcW w:w="14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0.527</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-cols</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+rows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pPr>
            <w:r w:rsidRPr="00F415B8">
              <w:t>3</w:t>
            </w:r>
          </w:p>
        </w:tc>
      </w:tr>
      <w:tr w:rsidR="00404448" w:rsidRPr="00F415B8">
        <w:trPr>
          <w:trHeight w:val="260"/>
        </w:trPr>
        <w:tc>
          <w:tcPr>
            <w:tcW w:w="1141"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15.2</w:t>
            </w:r>
          </w:p>
        </w:tc>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50</w:t>
            </w:r>
          </w:p>
        </w:tc>
        <w:tc>
          <w:tcPr>
            <w:tcW w:w="10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3.784</w:t>
            </w:r>
          </w:p>
        </w:tc>
        <w:tc>
          <w:tcPr>
            <w:tcW w:w="14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0.516</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+cols</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+rows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pPr>
            <w:r w:rsidRPr="00F415B8">
              <w:t>4</w:t>
            </w:r>
          </w:p>
        </w:tc>
      </w:tr>
      <w:tr w:rsidR="00404448" w:rsidRPr="00F415B8">
        <w:trPr>
          <w:trHeight w:val="260"/>
        </w:trPr>
        <w:tc>
          <w:tcPr>
            <w:tcW w:w="1141"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15.3</w:t>
            </w:r>
          </w:p>
        </w:tc>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51</w:t>
            </w:r>
          </w:p>
        </w:tc>
        <w:tc>
          <w:tcPr>
            <w:tcW w:w="10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4.778</w:t>
            </w:r>
          </w:p>
        </w:tc>
        <w:tc>
          <w:tcPr>
            <w:tcW w:w="14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0.364</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+cols</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-rows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pPr>
            <w:r w:rsidRPr="00F415B8">
              <w:t>1</w:t>
            </w:r>
          </w:p>
        </w:tc>
      </w:tr>
      <w:tr w:rsidR="00404448" w:rsidRPr="00F415B8">
        <w:trPr>
          <w:trHeight w:val="260"/>
        </w:trPr>
        <w:tc>
          <w:tcPr>
            <w:tcW w:w="1141"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15.4</w:t>
            </w:r>
          </w:p>
        </w:tc>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52</w:t>
            </w:r>
          </w:p>
        </w:tc>
        <w:tc>
          <w:tcPr>
            <w:tcW w:w="10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4.874</w:t>
            </w:r>
          </w:p>
        </w:tc>
        <w:tc>
          <w:tcPr>
            <w:tcW w:w="14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0.390</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-cols</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-rows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pPr>
            <w:r w:rsidRPr="00F415B8">
              <w:t>6</w:t>
            </w:r>
          </w:p>
        </w:tc>
      </w:tr>
      <w:tr w:rsidR="00404448" w:rsidRPr="00F415B8">
        <w:trPr>
          <w:trHeight w:val="260"/>
        </w:trPr>
        <w:tc>
          <w:tcPr>
            <w:tcW w:w="1141"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16.1</w:t>
            </w:r>
          </w:p>
        </w:tc>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53</w:t>
            </w:r>
          </w:p>
        </w:tc>
        <w:tc>
          <w:tcPr>
            <w:tcW w:w="10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5.547</w:t>
            </w:r>
          </w:p>
        </w:tc>
        <w:tc>
          <w:tcPr>
            <w:tcW w:w="14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0.253</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+cols</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-rows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pPr>
            <w:r w:rsidRPr="00F415B8">
              <w:t>1</w:t>
            </w:r>
          </w:p>
        </w:tc>
      </w:tr>
      <w:tr w:rsidR="00404448" w:rsidRPr="00F415B8">
        <w:trPr>
          <w:trHeight w:val="260"/>
        </w:trPr>
        <w:tc>
          <w:tcPr>
            <w:tcW w:w="1141"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16.2</w:t>
            </w:r>
          </w:p>
        </w:tc>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54</w:t>
            </w:r>
          </w:p>
        </w:tc>
        <w:tc>
          <w:tcPr>
            <w:tcW w:w="10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5.323</w:t>
            </w:r>
          </w:p>
        </w:tc>
        <w:tc>
          <w:tcPr>
            <w:tcW w:w="14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0.199</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-cols</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-rows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pPr>
            <w:r w:rsidRPr="00F415B8">
              <w:t>6</w:t>
            </w:r>
          </w:p>
        </w:tc>
      </w:tr>
      <w:tr w:rsidR="00404448" w:rsidRPr="00F415B8">
        <w:trPr>
          <w:trHeight w:val="260"/>
        </w:trPr>
        <w:tc>
          <w:tcPr>
            <w:tcW w:w="1141"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16.3</w:t>
            </w:r>
          </w:p>
        </w:tc>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55</w:t>
            </w:r>
          </w:p>
        </w:tc>
        <w:tc>
          <w:tcPr>
            <w:tcW w:w="10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6.188</w:t>
            </w:r>
          </w:p>
        </w:tc>
        <w:tc>
          <w:tcPr>
            <w:tcW w:w="14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0.257</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-cols</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+rows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pPr>
            <w:r w:rsidRPr="00F415B8">
              <w:t>3</w:t>
            </w:r>
          </w:p>
        </w:tc>
      </w:tr>
      <w:tr w:rsidR="00404448" w:rsidRPr="00F415B8">
        <w:trPr>
          <w:trHeight w:val="260"/>
        </w:trPr>
        <w:tc>
          <w:tcPr>
            <w:tcW w:w="1141"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16.4</w:t>
            </w:r>
          </w:p>
        </w:tc>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56</w:t>
            </w:r>
          </w:p>
        </w:tc>
        <w:tc>
          <w:tcPr>
            <w:tcW w:w="10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6.830</w:t>
            </w:r>
          </w:p>
        </w:tc>
        <w:tc>
          <w:tcPr>
            <w:tcW w:w="14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0.256</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+cols</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+rows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pPr>
            <w:r w:rsidRPr="00F415B8">
              <w:t>4</w:t>
            </w:r>
          </w:p>
        </w:tc>
      </w:tr>
      <w:tr w:rsidR="00404448" w:rsidRPr="00F415B8">
        <w:trPr>
          <w:trHeight w:val="260"/>
        </w:trPr>
        <w:tc>
          <w:tcPr>
            <w:tcW w:w="1141"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17.1</w:t>
            </w:r>
          </w:p>
        </w:tc>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57</w:t>
            </w:r>
          </w:p>
        </w:tc>
        <w:tc>
          <w:tcPr>
            <w:tcW w:w="10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3.752</w:t>
            </w:r>
          </w:p>
        </w:tc>
        <w:tc>
          <w:tcPr>
            <w:tcW w:w="14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0.458</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+cols</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-rows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pPr>
            <w:r w:rsidRPr="00F415B8">
              <w:t>1</w:t>
            </w:r>
          </w:p>
        </w:tc>
      </w:tr>
      <w:tr w:rsidR="00404448" w:rsidRPr="00F415B8">
        <w:trPr>
          <w:trHeight w:val="260"/>
        </w:trPr>
        <w:tc>
          <w:tcPr>
            <w:tcW w:w="1141"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17.2</w:t>
            </w:r>
          </w:p>
        </w:tc>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58</w:t>
            </w:r>
          </w:p>
        </w:tc>
        <w:tc>
          <w:tcPr>
            <w:tcW w:w="10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3.752</w:t>
            </w:r>
          </w:p>
        </w:tc>
        <w:tc>
          <w:tcPr>
            <w:tcW w:w="14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0.426</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-cols</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-rows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pPr>
            <w:r w:rsidRPr="00F415B8">
              <w:t>6</w:t>
            </w:r>
          </w:p>
        </w:tc>
      </w:tr>
      <w:tr w:rsidR="00404448" w:rsidRPr="00F415B8">
        <w:trPr>
          <w:trHeight w:val="260"/>
        </w:trPr>
        <w:tc>
          <w:tcPr>
            <w:tcW w:w="1141"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17.3</w:t>
            </w:r>
          </w:p>
        </w:tc>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59</w:t>
            </w:r>
          </w:p>
        </w:tc>
        <w:tc>
          <w:tcPr>
            <w:tcW w:w="10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3.367</w:t>
            </w:r>
          </w:p>
        </w:tc>
        <w:tc>
          <w:tcPr>
            <w:tcW w:w="14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0.508</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-cols</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+rows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pPr>
            <w:r w:rsidRPr="00F415B8">
              <w:t>3</w:t>
            </w:r>
          </w:p>
        </w:tc>
      </w:tr>
      <w:tr w:rsidR="00404448" w:rsidRPr="00F415B8">
        <w:trPr>
          <w:trHeight w:val="260"/>
        </w:trPr>
        <w:tc>
          <w:tcPr>
            <w:tcW w:w="1141"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17.4</w:t>
            </w:r>
          </w:p>
        </w:tc>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60</w:t>
            </w:r>
          </w:p>
        </w:tc>
        <w:tc>
          <w:tcPr>
            <w:tcW w:w="10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3.816</w:t>
            </w:r>
          </w:p>
        </w:tc>
        <w:tc>
          <w:tcPr>
            <w:tcW w:w="14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0.531</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+cols</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+rows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pPr>
            <w:r w:rsidRPr="00F415B8">
              <w:t>4</w:t>
            </w:r>
          </w:p>
        </w:tc>
      </w:tr>
      <w:tr w:rsidR="00404448" w:rsidRPr="00F415B8">
        <w:trPr>
          <w:trHeight w:val="260"/>
        </w:trPr>
        <w:tc>
          <w:tcPr>
            <w:tcW w:w="1141"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18.1</w:t>
            </w:r>
          </w:p>
        </w:tc>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61</w:t>
            </w:r>
          </w:p>
        </w:tc>
        <w:tc>
          <w:tcPr>
            <w:tcW w:w="10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4.329</w:t>
            </w:r>
          </w:p>
        </w:tc>
        <w:tc>
          <w:tcPr>
            <w:tcW w:w="14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0.444</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-rows</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-cols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pPr>
            <w:r w:rsidRPr="00F415B8">
              <w:t>2</w:t>
            </w:r>
          </w:p>
        </w:tc>
      </w:tr>
      <w:tr w:rsidR="00404448" w:rsidRPr="00F415B8">
        <w:trPr>
          <w:trHeight w:val="260"/>
        </w:trPr>
        <w:tc>
          <w:tcPr>
            <w:tcW w:w="1141"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18.2</w:t>
            </w:r>
          </w:p>
        </w:tc>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62</w:t>
            </w:r>
          </w:p>
        </w:tc>
        <w:tc>
          <w:tcPr>
            <w:tcW w:w="10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3.784</w:t>
            </w:r>
          </w:p>
        </w:tc>
        <w:tc>
          <w:tcPr>
            <w:tcW w:w="14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0.503</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-rows</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+cols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pPr>
            <w:r w:rsidRPr="00F415B8">
              <w:t>7</w:t>
            </w:r>
          </w:p>
        </w:tc>
      </w:tr>
      <w:tr w:rsidR="00404448" w:rsidRPr="00F415B8">
        <w:trPr>
          <w:trHeight w:val="260"/>
        </w:trPr>
        <w:tc>
          <w:tcPr>
            <w:tcW w:w="1141"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18.3</w:t>
            </w:r>
          </w:p>
        </w:tc>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63</w:t>
            </w:r>
          </w:p>
        </w:tc>
        <w:tc>
          <w:tcPr>
            <w:tcW w:w="10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3.431</w:t>
            </w:r>
          </w:p>
        </w:tc>
        <w:tc>
          <w:tcPr>
            <w:tcW w:w="14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0.550</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+rows</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+cols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pPr>
            <w:r w:rsidRPr="00F415B8">
              <w:t>0</w:t>
            </w:r>
          </w:p>
        </w:tc>
      </w:tr>
      <w:tr w:rsidR="00404448" w:rsidRPr="00F415B8">
        <w:trPr>
          <w:trHeight w:val="260"/>
        </w:trPr>
        <w:tc>
          <w:tcPr>
            <w:tcW w:w="1141"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18.4</w:t>
            </w:r>
          </w:p>
        </w:tc>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64</w:t>
            </w:r>
          </w:p>
        </w:tc>
        <w:tc>
          <w:tcPr>
            <w:tcW w:w="10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4.072</w:t>
            </w:r>
          </w:p>
        </w:tc>
        <w:tc>
          <w:tcPr>
            <w:tcW w:w="14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0.459</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+rows</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-cols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pPr>
            <w:r w:rsidRPr="00F415B8">
              <w:t>5</w:t>
            </w:r>
          </w:p>
        </w:tc>
      </w:tr>
      <w:tr w:rsidR="00404448" w:rsidRPr="00F415B8">
        <w:trPr>
          <w:trHeight w:val="260"/>
        </w:trPr>
        <w:tc>
          <w:tcPr>
            <w:tcW w:w="1141"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19.1</w:t>
            </w:r>
          </w:p>
        </w:tc>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65</w:t>
            </w:r>
          </w:p>
        </w:tc>
        <w:tc>
          <w:tcPr>
            <w:tcW w:w="10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3.591</w:t>
            </w:r>
          </w:p>
        </w:tc>
        <w:tc>
          <w:tcPr>
            <w:tcW w:w="14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0.549</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-rows</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-cols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pPr>
            <w:r w:rsidRPr="00F415B8">
              <w:t>2</w:t>
            </w:r>
          </w:p>
        </w:tc>
      </w:tr>
      <w:tr w:rsidR="00404448" w:rsidRPr="00F415B8">
        <w:trPr>
          <w:trHeight w:val="260"/>
        </w:trPr>
        <w:tc>
          <w:tcPr>
            <w:tcW w:w="1141"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19.2</w:t>
            </w:r>
          </w:p>
        </w:tc>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66</w:t>
            </w:r>
          </w:p>
        </w:tc>
        <w:tc>
          <w:tcPr>
            <w:tcW w:w="10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3.206</w:t>
            </w:r>
          </w:p>
        </w:tc>
        <w:tc>
          <w:tcPr>
            <w:tcW w:w="14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0.559</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-rows</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+cols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pPr>
            <w:r w:rsidRPr="00F415B8">
              <w:t>7</w:t>
            </w:r>
          </w:p>
        </w:tc>
      </w:tr>
      <w:tr w:rsidR="00404448" w:rsidRPr="00F415B8">
        <w:trPr>
          <w:trHeight w:val="260"/>
        </w:trPr>
        <w:tc>
          <w:tcPr>
            <w:tcW w:w="1141"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19.3</w:t>
            </w:r>
          </w:p>
        </w:tc>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67</w:t>
            </w:r>
          </w:p>
        </w:tc>
        <w:tc>
          <w:tcPr>
            <w:tcW w:w="10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3.303</w:t>
            </w:r>
          </w:p>
        </w:tc>
        <w:tc>
          <w:tcPr>
            <w:tcW w:w="14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0.617</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+rows</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+cols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pPr>
            <w:r w:rsidRPr="00F415B8">
              <w:t>0</w:t>
            </w:r>
          </w:p>
        </w:tc>
      </w:tr>
      <w:tr w:rsidR="00404448" w:rsidRPr="00F415B8">
        <w:trPr>
          <w:trHeight w:val="260"/>
        </w:trPr>
        <w:tc>
          <w:tcPr>
            <w:tcW w:w="1141"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19.4</w:t>
            </w:r>
          </w:p>
        </w:tc>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68</w:t>
            </w:r>
          </w:p>
        </w:tc>
        <w:tc>
          <w:tcPr>
            <w:tcW w:w="10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3.976</w:t>
            </w:r>
          </w:p>
        </w:tc>
        <w:tc>
          <w:tcPr>
            <w:tcW w:w="14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0.552</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+rows</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-cols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pPr>
            <w:r w:rsidRPr="00F415B8">
              <w:t>5</w:t>
            </w:r>
          </w:p>
        </w:tc>
      </w:tr>
      <w:tr w:rsidR="00404448" w:rsidRPr="00F415B8">
        <w:trPr>
          <w:trHeight w:val="260"/>
        </w:trPr>
        <w:tc>
          <w:tcPr>
            <w:tcW w:w="1141"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20.1</w:t>
            </w:r>
          </w:p>
        </w:tc>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69</w:t>
            </w:r>
          </w:p>
        </w:tc>
        <w:tc>
          <w:tcPr>
            <w:tcW w:w="10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3.816</w:t>
            </w:r>
          </w:p>
        </w:tc>
        <w:tc>
          <w:tcPr>
            <w:tcW w:w="14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0.484</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-cols</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+rows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pPr>
            <w:r w:rsidRPr="00F415B8">
              <w:t>3</w:t>
            </w:r>
          </w:p>
        </w:tc>
      </w:tr>
      <w:tr w:rsidR="00404448" w:rsidRPr="00F415B8">
        <w:trPr>
          <w:trHeight w:val="260"/>
        </w:trPr>
        <w:tc>
          <w:tcPr>
            <w:tcW w:w="1141"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20.2</w:t>
            </w:r>
          </w:p>
        </w:tc>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70</w:t>
            </w:r>
          </w:p>
        </w:tc>
        <w:tc>
          <w:tcPr>
            <w:tcW w:w="10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4.232</w:t>
            </w:r>
          </w:p>
        </w:tc>
        <w:tc>
          <w:tcPr>
            <w:tcW w:w="14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0.448</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+cols</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+rows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pPr>
            <w:r w:rsidRPr="00F415B8">
              <w:t>4</w:t>
            </w:r>
          </w:p>
        </w:tc>
      </w:tr>
      <w:tr w:rsidR="00404448" w:rsidRPr="00F415B8">
        <w:trPr>
          <w:trHeight w:val="260"/>
        </w:trPr>
        <w:tc>
          <w:tcPr>
            <w:tcW w:w="1141"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20.3</w:t>
            </w:r>
          </w:p>
        </w:tc>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71</w:t>
            </w:r>
          </w:p>
        </w:tc>
        <w:tc>
          <w:tcPr>
            <w:tcW w:w="10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5.611</w:t>
            </w:r>
          </w:p>
        </w:tc>
        <w:tc>
          <w:tcPr>
            <w:tcW w:w="14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0.287</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+cols</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-rows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pPr>
            <w:r w:rsidRPr="00F415B8">
              <w:t>1</w:t>
            </w:r>
          </w:p>
        </w:tc>
      </w:tr>
      <w:tr w:rsidR="00404448" w:rsidRPr="00F415B8">
        <w:trPr>
          <w:trHeight w:val="260"/>
        </w:trPr>
        <w:tc>
          <w:tcPr>
            <w:tcW w:w="1141"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20.4</w:t>
            </w:r>
          </w:p>
        </w:tc>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72</w:t>
            </w:r>
          </w:p>
        </w:tc>
        <w:tc>
          <w:tcPr>
            <w:tcW w:w="10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4.970</w:t>
            </w:r>
          </w:p>
        </w:tc>
        <w:tc>
          <w:tcPr>
            <w:tcW w:w="14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0.333</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-cols</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-rows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pPr>
            <w:r w:rsidRPr="00F415B8">
              <w:t>6</w:t>
            </w:r>
          </w:p>
        </w:tc>
      </w:tr>
      <w:tr w:rsidR="00404448" w:rsidRPr="00F415B8">
        <w:trPr>
          <w:trHeight w:val="260"/>
        </w:trPr>
        <w:tc>
          <w:tcPr>
            <w:tcW w:w="1141"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22.1</w:t>
            </w:r>
          </w:p>
        </w:tc>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73</w:t>
            </w:r>
          </w:p>
        </w:tc>
        <w:tc>
          <w:tcPr>
            <w:tcW w:w="10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4.232</w:t>
            </w:r>
          </w:p>
        </w:tc>
        <w:tc>
          <w:tcPr>
            <w:tcW w:w="14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0.362</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-rows</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-cols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pPr>
            <w:r w:rsidRPr="00F415B8">
              <w:t>2</w:t>
            </w:r>
          </w:p>
        </w:tc>
      </w:tr>
      <w:tr w:rsidR="00404448" w:rsidRPr="00F415B8">
        <w:trPr>
          <w:trHeight w:val="260"/>
        </w:trPr>
        <w:tc>
          <w:tcPr>
            <w:tcW w:w="1141"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22.2</w:t>
            </w:r>
          </w:p>
        </w:tc>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74</w:t>
            </w:r>
          </w:p>
        </w:tc>
        <w:tc>
          <w:tcPr>
            <w:tcW w:w="10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4.681</w:t>
            </w:r>
          </w:p>
        </w:tc>
        <w:tc>
          <w:tcPr>
            <w:tcW w:w="14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0.394</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-rows</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+cols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pPr>
            <w:r w:rsidRPr="00F415B8">
              <w:t>7</w:t>
            </w:r>
          </w:p>
        </w:tc>
      </w:tr>
      <w:tr w:rsidR="00404448" w:rsidRPr="00F415B8">
        <w:trPr>
          <w:trHeight w:val="260"/>
        </w:trPr>
        <w:tc>
          <w:tcPr>
            <w:tcW w:w="1141"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22.3</w:t>
            </w:r>
          </w:p>
        </w:tc>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75</w:t>
            </w:r>
          </w:p>
        </w:tc>
        <w:tc>
          <w:tcPr>
            <w:tcW w:w="10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5.579</w:t>
            </w:r>
          </w:p>
        </w:tc>
        <w:tc>
          <w:tcPr>
            <w:tcW w:w="14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0.419</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+rows</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+cols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pPr>
            <w:r w:rsidRPr="00F415B8">
              <w:t>0</w:t>
            </w:r>
          </w:p>
        </w:tc>
      </w:tr>
      <w:tr w:rsidR="00404448" w:rsidRPr="00F415B8">
        <w:trPr>
          <w:trHeight w:val="260"/>
        </w:trPr>
        <w:tc>
          <w:tcPr>
            <w:tcW w:w="1141"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22.4</w:t>
            </w:r>
          </w:p>
        </w:tc>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76</w:t>
            </w:r>
          </w:p>
        </w:tc>
        <w:tc>
          <w:tcPr>
            <w:tcW w:w="10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5.002</w:t>
            </w:r>
          </w:p>
        </w:tc>
        <w:tc>
          <w:tcPr>
            <w:tcW w:w="14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0.373</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+rows</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-cols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pPr>
            <w:r w:rsidRPr="00F415B8">
              <w:t>5</w:t>
            </w:r>
          </w:p>
        </w:tc>
      </w:tr>
      <w:tr w:rsidR="00404448" w:rsidRPr="00F415B8">
        <w:trPr>
          <w:trHeight w:val="260"/>
        </w:trPr>
        <w:tc>
          <w:tcPr>
            <w:tcW w:w="1141"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23.1</w:t>
            </w:r>
          </w:p>
        </w:tc>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77</w:t>
            </w:r>
          </w:p>
        </w:tc>
        <w:tc>
          <w:tcPr>
            <w:tcW w:w="10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3.912</w:t>
            </w:r>
          </w:p>
        </w:tc>
        <w:tc>
          <w:tcPr>
            <w:tcW w:w="14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0.453</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-rows</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-cols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pPr>
            <w:r w:rsidRPr="00F415B8">
              <w:t>2</w:t>
            </w:r>
          </w:p>
        </w:tc>
      </w:tr>
      <w:tr w:rsidR="00404448" w:rsidRPr="00F415B8">
        <w:trPr>
          <w:trHeight w:val="260"/>
        </w:trPr>
        <w:tc>
          <w:tcPr>
            <w:tcW w:w="1141"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23.2</w:t>
            </w:r>
          </w:p>
        </w:tc>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78</w:t>
            </w:r>
          </w:p>
        </w:tc>
        <w:tc>
          <w:tcPr>
            <w:tcW w:w="10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3.655</w:t>
            </w:r>
          </w:p>
        </w:tc>
        <w:tc>
          <w:tcPr>
            <w:tcW w:w="14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0.478</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-rows</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+cols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pPr>
            <w:r w:rsidRPr="00F415B8">
              <w:t>7</w:t>
            </w:r>
          </w:p>
        </w:tc>
      </w:tr>
      <w:tr w:rsidR="00404448" w:rsidRPr="00F415B8">
        <w:trPr>
          <w:trHeight w:val="260"/>
        </w:trPr>
        <w:tc>
          <w:tcPr>
            <w:tcW w:w="1141"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23.3</w:t>
            </w:r>
          </w:p>
        </w:tc>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79</w:t>
            </w:r>
          </w:p>
        </w:tc>
        <w:tc>
          <w:tcPr>
            <w:tcW w:w="10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4.617</w:t>
            </w:r>
          </w:p>
        </w:tc>
        <w:tc>
          <w:tcPr>
            <w:tcW w:w="14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0.444</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+rows</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+cols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pPr>
            <w:r w:rsidRPr="00F415B8">
              <w:t>0</w:t>
            </w:r>
          </w:p>
        </w:tc>
      </w:tr>
      <w:tr w:rsidR="00404448" w:rsidRPr="00F415B8">
        <w:trPr>
          <w:trHeight w:val="260"/>
        </w:trPr>
        <w:tc>
          <w:tcPr>
            <w:tcW w:w="1141"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23.4</w:t>
            </w:r>
          </w:p>
        </w:tc>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80</w:t>
            </w:r>
          </w:p>
        </w:tc>
        <w:tc>
          <w:tcPr>
            <w:tcW w:w="10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4.874</w:t>
            </w:r>
          </w:p>
        </w:tc>
        <w:tc>
          <w:tcPr>
            <w:tcW w:w="14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0.381</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+rows</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-cols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pPr>
            <w:r w:rsidRPr="00F415B8">
              <w:t>5</w:t>
            </w:r>
          </w:p>
        </w:tc>
      </w:tr>
      <w:tr w:rsidR="00404448" w:rsidRPr="00F415B8">
        <w:trPr>
          <w:trHeight w:val="260"/>
        </w:trPr>
        <w:tc>
          <w:tcPr>
            <w:tcW w:w="1141"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24.1</w:t>
            </w:r>
          </w:p>
        </w:tc>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81</w:t>
            </w:r>
          </w:p>
        </w:tc>
        <w:tc>
          <w:tcPr>
            <w:tcW w:w="10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4.457</w:t>
            </w:r>
          </w:p>
        </w:tc>
        <w:tc>
          <w:tcPr>
            <w:tcW w:w="14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0.428</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-rows</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-cols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pPr>
            <w:r w:rsidRPr="00F415B8">
              <w:t>2</w:t>
            </w:r>
          </w:p>
        </w:tc>
      </w:tr>
      <w:tr w:rsidR="00404448" w:rsidRPr="00F415B8">
        <w:trPr>
          <w:trHeight w:val="260"/>
        </w:trPr>
        <w:tc>
          <w:tcPr>
            <w:tcW w:w="1141"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24.2</w:t>
            </w:r>
          </w:p>
        </w:tc>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82</w:t>
            </w:r>
          </w:p>
        </w:tc>
        <w:tc>
          <w:tcPr>
            <w:tcW w:w="10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3.719</w:t>
            </w:r>
          </w:p>
        </w:tc>
        <w:tc>
          <w:tcPr>
            <w:tcW w:w="14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0.516</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-rows</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+cols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pPr>
            <w:r w:rsidRPr="00F415B8">
              <w:t>7</w:t>
            </w:r>
          </w:p>
        </w:tc>
      </w:tr>
      <w:tr w:rsidR="00404448" w:rsidRPr="00F415B8">
        <w:trPr>
          <w:trHeight w:val="260"/>
        </w:trPr>
        <w:tc>
          <w:tcPr>
            <w:tcW w:w="1141"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24.3</w:t>
            </w:r>
          </w:p>
        </w:tc>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83</w:t>
            </w:r>
          </w:p>
        </w:tc>
        <w:tc>
          <w:tcPr>
            <w:tcW w:w="10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4.553</w:t>
            </w:r>
          </w:p>
        </w:tc>
        <w:tc>
          <w:tcPr>
            <w:tcW w:w="14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0.418</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+rows</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+cols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pPr>
            <w:r w:rsidRPr="00F415B8">
              <w:t>0</w:t>
            </w:r>
          </w:p>
        </w:tc>
      </w:tr>
      <w:tr w:rsidR="00404448" w:rsidRPr="00F415B8">
        <w:trPr>
          <w:trHeight w:val="260"/>
        </w:trPr>
        <w:tc>
          <w:tcPr>
            <w:tcW w:w="1141"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24.4</w:t>
            </w:r>
          </w:p>
        </w:tc>
        <w:tc>
          <w:tcPr>
            <w:tcW w:w="866"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center"/>
              <w:rPr>
                <w:rFonts w:ascii="Courier" w:hAnsi="Courier"/>
                <w:szCs w:val="22"/>
              </w:rPr>
            </w:pPr>
            <w:r w:rsidRPr="00F415B8">
              <w:rPr>
                <w:rFonts w:ascii="Courier" w:hAnsi="Courier"/>
                <w:szCs w:val="22"/>
              </w:rPr>
              <w:t>84</w:t>
            </w:r>
          </w:p>
        </w:tc>
        <w:tc>
          <w:tcPr>
            <w:tcW w:w="10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5.643</w:t>
            </w:r>
          </w:p>
        </w:tc>
        <w:tc>
          <w:tcPr>
            <w:tcW w:w="140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rPr>
                <w:rFonts w:ascii="Courier" w:hAnsi="Courier"/>
                <w:szCs w:val="22"/>
              </w:rPr>
            </w:pPr>
            <w:r w:rsidRPr="00F415B8">
              <w:rPr>
                <w:rFonts w:ascii="Courier" w:hAnsi="Courier"/>
                <w:szCs w:val="22"/>
              </w:rPr>
              <w:t>0.327</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+rows</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rPr>
                <w:rFonts w:ascii="Courier" w:hAnsi="Courier"/>
              </w:rPr>
            </w:pPr>
            <w:r w:rsidRPr="00F415B8">
              <w:rPr>
                <w:rFonts w:ascii="Courier" w:hAnsi="Courier"/>
              </w:rPr>
              <w:t>-cols</w:t>
            </w:r>
          </w:p>
        </w:tc>
        <w:tc>
          <w:tcPr>
            <w:tcW w:w="72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04448" w:rsidRPr="00F415B8" w:rsidRDefault="00404448" w:rsidP="00404448">
            <w:pPr>
              <w:spacing w:after="0"/>
              <w:jc w:val="right"/>
            </w:pPr>
            <w:r w:rsidRPr="00F415B8">
              <w:t>5</w:t>
            </w:r>
          </w:p>
        </w:tc>
      </w:tr>
    </w:tbl>
    <w:p w:rsidR="00404448" w:rsidRPr="00F415B8" w:rsidRDefault="00404448" w:rsidP="00404448"/>
    <w:p w:rsidR="00404448" w:rsidRPr="00B52F8F" w:rsidRDefault="004C78B9" w:rsidP="00404448">
      <w:pPr>
        <w:outlineLvl w:val="0"/>
        <w:rPr>
          <w:u w:val="single"/>
        </w:rPr>
      </w:pPr>
      <w:r w:rsidRPr="00B52F8F">
        <w:rPr>
          <w:u w:val="single"/>
        </w:rPr>
        <w:fldChar w:fldCharType="begin"/>
      </w:r>
      <w:r w:rsidR="00404448" w:rsidRPr="00B52F8F">
        <w:rPr>
          <w:u w:val="single"/>
        </w:rPr>
        <w:instrText xml:space="preserve"> REF _Ref108518877 \h </w:instrText>
      </w:r>
      <w:r w:rsidR="002559BD" w:rsidRPr="004C78B9">
        <w:rPr>
          <w:u w:val="single"/>
        </w:rPr>
      </w:r>
      <w:r w:rsidRPr="00B52F8F">
        <w:rPr>
          <w:u w:val="single"/>
        </w:rPr>
        <w:fldChar w:fldCharType="separate"/>
      </w:r>
      <w:r w:rsidR="000D2EB4">
        <w:t xml:space="preserve">Table </w:t>
      </w:r>
      <w:r w:rsidR="000D2EB4">
        <w:rPr>
          <w:noProof/>
        </w:rPr>
        <w:t>14</w:t>
      </w:r>
      <w:r w:rsidRPr="00B52F8F">
        <w:rPr>
          <w:u w:val="single"/>
        </w:rPr>
        <w:fldChar w:fldCharType="end"/>
      </w:r>
      <w:r w:rsidR="00404448" w:rsidRPr="00B52F8F">
        <w:rPr>
          <w:u w:val="single"/>
        </w:rPr>
        <w:t xml:space="preserve"> Notes:</w:t>
      </w:r>
    </w:p>
    <w:p w:rsidR="00404448" w:rsidRDefault="00404448" w:rsidP="00404448">
      <w:r w:rsidRPr="00B77D2C">
        <w:rPr>
          <w:b/>
        </w:rPr>
        <w:t>EE95</w:t>
      </w:r>
      <w:r>
        <w:t xml:space="preserve"> – These values were reported during the PRF Commissioning activity C-039 as described by Bryson </w:t>
      </w:r>
      <w:r w:rsidR="005628BC" w:rsidRPr="005628BC">
        <w:rPr>
          <w:i/>
        </w:rPr>
        <w:t>et al.</w:t>
      </w:r>
      <w:r w:rsidR="005628BC">
        <w:t xml:space="preserve"> (2011</w:t>
      </w:r>
      <w:r>
        <w:t xml:space="preserve">).  These numerical values are the ones shown in </w:t>
      </w:r>
      <w:r w:rsidR="004C78B9">
        <w:fldChar w:fldCharType="begin"/>
      </w:r>
      <w:r w:rsidR="00C903B6">
        <w:instrText xml:space="preserve"> REF _Ref105239008 \h </w:instrText>
      </w:r>
      <w:r w:rsidR="004C78B9">
        <w:fldChar w:fldCharType="separate"/>
      </w:r>
      <w:r w:rsidR="000D2EB4">
        <w:t xml:space="preserve">Figure </w:t>
      </w:r>
      <w:r w:rsidR="000D2EB4">
        <w:rPr>
          <w:noProof/>
        </w:rPr>
        <w:t>17</w:t>
      </w:r>
      <w:r w:rsidR="004C78B9">
        <w:fldChar w:fldCharType="end"/>
      </w:r>
      <w:r>
        <w:t>.  EE95 ranges from 3.1 to 7.5 pixels, with a median of 4.2 pixels.</w:t>
      </w:r>
    </w:p>
    <w:p w:rsidR="00404448" w:rsidRDefault="00404448" w:rsidP="00404448">
      <w:r w:rsidRPr="00720584">
        <w:rPr>
          <w:b/>
        </w:rPr>
        <w:t>Brightest Pixel Flux Fraction</w:t>
      </w:r>
      <w:r>
        <w:t xml:space="preserve"> – These were calculated from the same PRFs as EE95.  The brightest pixel flux fraction ranges from 0.20 to 0.62, with a median of 0.45.</w:t>
      </w:r>
    </w:p>
    <w:p w:rsidR="00404448" w:rsidRDefault="00404448" w:rsidP="00404448">
      <w:r w:rsidRPr="00720584">
        <w:rPr>
          <w:b/>
        </w:rPr>
        <w:t>Rotation</w:t>
      </w:r>
      <w:r>
        <w:t xml:space="preserve"> – The orientation of the channel rows and columns with respect to the FPA coordinates +Y’ and +Z’.  A + sign indicates that the channel axis is increasing in the direction of the + FPA axis, while</w:t>
      </w:r>
      <w:r w:rsidR="008C62D1">
        <w:t xml:space="preserve"> a</w:t>
      </w:r>
      <w:r>
        <w:t xml:space="preserve"> – </w:t>
      </w:r>
      <w:r w:rsidR="00E17F30">
        <w:t xml:space="preserve">sign </w:t>
      </w:r>
      <w:r>
        <w:t xml:space="preserve">indicates that the channel axis is decreasing in the direction of the + FPA axis.  For example, channel 2.1 has rows increasing in the +Y’ direction and columns increasing in the  +Z’ direction, while channel 2.3 has rows which decrease in the +Y’ direction and columns that decrease in the +Z’ direction.  This is the same information shown in </w:t>
      </w:r>
      <w:r w:rsidR="004C78B9">
        <w:fldChar w:fldCharType="begin"/>
      </w:r>
      <w:r w:rsidR="00C903B6">
        <w:instrText xml:space="preserve"> REF _Ref205722006 \h </w:instrText>
      </w:r>
      <w:r w:rsidR="004C78B9">
        <w:fldChar w:fldCharType="separate"/>
      </w:r>
      <w:r w:rsidR="000D2EB4">
        <w:t xml:space="preserve">Figure </w:t>
      </w:r>
      <w:r w:rsidR="000D2EB4">
        <w:rPr>
          <w:noProof/>
        </w:rPr>
        <w:t>24</w:t>
      </w:r>
      <w:r w:rsidR="004C78B9">
        <w:fldChar w:fldCharType="end"/>
      </w:r>
      <w:r>
        <w:t>, but in a possibly more useful tabular form.</w:t>
      </w:r>
    </w:p>
    <w:p w:rsidR="00404448" w:rsidRDefault="00404448" w:rsidP="00404448">
      <w:r w:rsidRPr="00E4583B">
        <w:rPr>
          <w:b/>
        </w:rPr>
        <w:t>ROT</w:t>
      </w:r>
      <w:r>
        <w:t xml:space="preserve"> – The argument of the IDL ROTATE command, which transforms an image in channel coordinates (increasing rows along the + ordinate and increasing columns along the + abscissa) into FPA coordinates.  The table below, from IDL on-line help, shows the transpositions and rotations.  Note that the rotation sense is for images which have the first row at the bottom of the image (IDL default) not first row at the top of the image (</w:t>
      </w:r>
      <w:r w:rsidR="00C07D8D">
        <w:t>MATLAB</w:t>
      </w:r>
      <w:r>
        <w:t xml:space="preserve"> default).</w:t>
      </w:r>
    </w:p>
    <w:tbl>
      <w:tblPr>
        <w:tblW w:w="0" w:type="auto"/>
        <w:tblBorders>
          <w:top w:val="nil"/>
          <w:left w:val="nil"/>
          <w:right w:val="nil"/>
        </w:tblBorders>
        <w:tblLayout w:type="fixed"/>
        <w:tblLook w:val="0000"/>
      </w:tblPr>
      <w:tblGrid>
        <w:gridCol w:w="1548"/>
        <w:gridCol w:w="1710"/>
        <w:gridCol w:w="2642"/>
      </w:tblGrid>
      <w:tr w:rsidR="00404448" w:rsidRPr="000E2C81">
        <w:tc>
          <w:tcPr>
            <w:tcW w:w="1548" w:type="dxa"/>
            <w:shd w:val="clear" w:color="auto" w:fill="D5D5DE"/>
            <w:tcMar>
              <w:top w:w="160" w:type="nil"/>
              <w:left w:w="160" w:type="nil"/>
              <w:bottom w:w="160" w:type="nil"/>
              <w:right w:w="160" w:type="nil"/>
            </w:tcMar>
            <w:vAlign w:val="center"/>
          </w:tcPr>
          <w:p w:rsidR="00404448" w:rsidRPr="00F415B8" w:rsidRDefault="00404448" w:rsidP="00404448">
            <w:pPr>
              <w:widowControl w:val="0"/>
              <w:autoSpaceDE w:val="0"/>
              <w:autoSpaceDN w:val="0"/>
              <w:adjustRightInd w:val="0"/>
              <w:spacing w:after="0"/>
              <w:jc w:val="center"/>
              <w:rPr>
                <w:rFonts w:cs="Arial"/>
                <w:b/>
                <w:bCs/>
                <w:szCs w:val="26"/>
              </w:rPr>
            </w:pPr>
            <w:r w:rsidRPr="00F415B8">
              <w:rPr>
                <w:rFonts w:cs="Arial"/>
                <w:b/>
                <w:bCs/>
                <w:szCs w:val="26"/>
              </w:rPr>
              <w:t>Direction</w:t>
            </w:r>
          </w:p>
        </w:tc>
        <w:tc>
          <w:tcPr>
            <w:tcW w:w="1710" w:type="dxa"/>
            <w:shd w:val="clear" w:color="auto" w:fill="D5D5DE"/>
            <w:tcMar>
              <w:top w:w="160" w:type="nil"/>
              <w:left w:w="160" w:type="nil"/>
              <w:bottom w:w="160" w:type="nil"/>
              <w:right w:w="160" w:type="nil"/>
            </w:tcMar>
            <w:vAlign w:val="center"/>
          </w:tcPr>
          <w:p w:rsidR="00404448" w:rsidRPr="00F415B8" w:rsidRDefault="00404448" w:rsidP="00404448">
            <w:pPr>
              <w:widowControl w:val="0"/>
              <w:autoSpaceDE w:val="0"/>
              <w:autoSpaceDN w:val="0"/>
              <w:adjustRightInd w:val="0"/>
              <w:spacing w:after="0"/>
              <w:jc w:val="center"/>
              <w:rPr>
                <w:rFonts w:cs="Arial"/>
                <w:b/>
                <w:bCs/>
                <w:szCs w:val="26"/>
              </w:rPr>
            </w:pPr>
            <w:r w:rsidRPr="00F415B8">
              <w:rPr>
                <w:rFonts w:cs="Arial"/>
                <w:b/>
                <w:bCs/>
                <w:szCs w:val="26"/>
              </w:rPr>
              <w:t>Transpose?</w:t>
            </w:r>
          </w:p>
        </w:tc>
        <w:tc>
          <w:tcPr>
            <w:tcW w:w="2642" w:type="dxa"/>
            <w:shd w:val="clear" w:color="auto" w:fill="D5D5DE"/>
            <w:tcMar>
              <w:top w:w="160" w:type="nil"/>
              <w:left w:w="160" w:type="nil"/>
              <w:bottom w:w="160" w:type="nil"/>
              <w:right w:w="160" w:type="nil"/>
            </w:tcMar>
            <w:vAlign w:val="center"/>
          </w:tcPr>
          <w:p w:rsidR="00404448" w:rsidRPr="00F415B8" w:rsidRDefault="00404448" w:rsidP="00404448">
            <w:pPr>
              <w:widowControl w:val="0"/>
              <w:autoSpaceDE w:val="0"/>
              <w:autoSpaceDN w:val="0"/>
              <w:adjustRightInd w:val="0"/>
              <w:spacing w:after="0"/>
              <w:jc w:val="center"/>
              <w:rPr>
                <w:rFonts w:cs="Arial"/>
                <w:b/>
                <w:bCs/>
                <w:szCs w:val="26"/>
              </w:rPr>
            </w:pPr>
            <w:r w:rsidRPr="00F415B8">
              <w:rPr>
                <w:rFonts w:cs="Arial"/>
                <w:b/>
                <w:bCs/>
                <w:szCs w:val="26"/>
              </w:rPr>
              <w:t>Rotation Counterclockwise</w:t>
            </w:r>
          </w:p>
        </w:tc>
      </w:tr>
      <w:tr w:rsidR="00404448" w:rsidRPr="000E2C81">
        <w:tblPrEx>
          <w:tblBorders>
            <w:top w:val="none" w:sz="0" w:space="0" w:color="auto"/>
          </w:tblBorders>
        </w:tblPrEx>
        <w:tc>
          <w:tcPr>
            <w:tcW w:w="1548" w:type="dxa"/>
            <w:shd w:val="clear" w:color="auto" w:fill="E2E2E2"/>
            <w:tcMar>
              <w:top w:w="160" w:type="nil"/>
              <w:left w:w="160" w:type="nil"/>
              <w:bottom w:w="160" w:type="nil"/>
              <w:right w:w="160" w:type="nil"/>
            </w:tcMar>
            <w:vAlign w:val="center"/>
          </w:tcPr>
          <w:p w:rsidR="00404448" w:rsidRPr="00F415B8" w:rsidRDefault="00404448" w:rsidP="00404448">
            <w:pPr>
              <w:widowControl w:val="0"/>
              <w:autoSpaceDE w:val="0"/>
              <w:autoSpaceDN w:val="0"/>
              <w:adjustRightInd w:val="0"/>
              <w:spacing w:after="0"/>
              <w:jc w:val="center"/>
              <w:rPr>
                <w:rFonts w:cs="Arial"/>
                <w:szCs w:val="26"/>
              </w:rPr>
            </w:pPr>
            <w:r w:rsidRPr="00F415B8">
              <w:rPr>
                <w:rFonts w:cs="Arial"/>
                <w:szCs w:val="26"/>
              </w:rPr>
              <w:t>0</w:t>
            </w:r>
          </w:p>
        </w:tc>
        <w:tc>
          <w:tcPr>
            <w:tcW w:w="1710" w:type="dxa"/>
            <w:shd w:val="clear" w:color="auto" w:fill="E2E2E2"/>
            <w:tcMar>
              <w:top w:w="160" w:type="nil"/>
              <w:left w:w="160" w:type="nil"/>
              <w:bottom w:w="160" w:type="nil"/>
              <w:right w:w="160" w:type="nil"/>
            </w:tcMar>
            <w:vAlign w:val="center"/>
          </w:tcPr>
          <w:p w:rsidR="00404448" w:rsidRPr="00F415B8" w:rsidRDefault="00404448" w:rsidP="00404448">
            <w:pPr>
              <w:widowControl w:val="0"/>
              <w:autoSpaceDE w:val="0"/>
              <w:autoSpaceDN w:val="0"/>
              <w:adjustRightInd w:val="0"/>
              <w:spacing w:after="0"/>
              <w:jc w:val="center"/>
              <w:rPr>
                <w:rFonts w:cs="Arial"/>
                <w:szCs w:val="26"/>
              </w:rPr>
            </w:pPr>
            <w:r w:rsidRPr="00F415B8">
              <w:rPr>
                <w:rFonts w:cs="Arial"/>
                <w:szCs w:val="26"/>
              </w:rPr>
              <w:t>No</w:t>
            </w:r>
          </w:p>
        </w:tc>
        <w:tc>
          <w:tcPr>
            <w:tcW w:w="2642" w:type="dxa"/>
            <w:shd w:val="clear" w:color="auto" w:fill="E2E2E2"/>
            <w:tcMar>
              <w:top w:w="160" w:type="nil"/>
              <w:left w:w="160" w:type="nil"/>
              <w:bottom w:w="160" w:type="nil"/>
              <w:right w:w="160" w:type="nil"/>
            </w:tcMar>
            <w:vAlign w:val="center"/>
          </w:tcPr>
          <w:p w:rsidR="00404448" w:rsidRPr="00F415B8" w:rsidRDefault="00404448" w:rsidP="00404448">
            <w:pPr>
              <w:widowControl w:val="0"/>
              <w:autoSpaceDE w:val="0"/>
              <w:autoSpaceDN w:val="0"/>
              <w:adjustRightInd w:val="0"/>
              <w:spacing w:after="0"/>
              <w:jc w:val="center"/>
              <w:rPr>
                <w:rFonts w:cs="Arial"/>
                <w:szCs w:val="26"/>
              </w:rPr>
            </w:pPr>
            <w:r w:rsidRPr="00F415B8">
              <w:rPr>
                <w:rFonts w:cs="Arial"/>
                <w:szCs w:val="26"/>
              </w:rPr>
              <w:t>None</w:t>
            </w:r>
          </w:p>
        </w:tc>
      </w:tr>
      <w:tr w:rsidR="00404448" w:rsidRPr="000E2C81">
        <w:tblPrEx>
          <w:tblBorders>
            <w:top w:val="none" w:sz="0" w:space="0" w:color="auto"/>
          </w:tblBorders>
        </w:tblPrEx>
        <w:tc>
          <w:tcPr>
            <w:tcW w:w="1548" w:type="dxa"/>
            <w:shd w:val="clear" w:color="auto" w:fill="E2E2E2"/>
            <w:tcMar>
              <w:top w:w="160" w:type="nil"/>
              <w:left w:w="160" w:type="nil"/>
              <w:bottom w:w="160" w:type="nil"/>
              <w:right w:w="160" w:type="nil"/>
            </w:tcMar>
            <w:vAlign w:val="center"/>
          </w:tcPr>
          <w:p w:rsidR="00404448" w:rsidRPr="00F415B8" w:rsidRDefault="00404448" w:rsidP="00404448">
            <w:pPr>
              <w:widowControl w:val="0"/>
              <w:autoSpaceDE w:val="0"/>
              <w:autoSpaceDN w:val="0"/>
              <w:adjustRightInd w:val="0"/>
              <w:spacing w:after="0"/>
              <w:jc w:val="center"/>
              <w:rPr>
                <w:rFonts w:cs="Arial"/>
                <w:szCs w:val="26"/>
              </w:rPr>
            </w:pPr>
            <w:r w:rsidRPr="00F415B8">
              <w:rPr>
                <w:rFonts w:cs="Arial"/>
                <w:szCs w:val="26"/>
              </w:rPr>
              <w:t>1</w:t>
            </w:r>
          </w:p>
        </w:tc>
        <w:tc>
          <w:tcPr>
            <w:tcW w:w="1710" w:type="dxa"/>
            <w:shd w:val="clear" w:color="auto" w:fill="E2E2E2"/>
            <w:tcMar>
              <w:top w:w="160" w:type="nil"/>
              <w:left w:w="160" w:type="nil"/>
              <w:bottom w:w="160" w:type="nil"/>
              <w:right w:w="160" w:type="nil"/>
            </w:tcMar>
            <w:vAlign w:val="center"/>
          </w:tcPr>
          <w:p w:rsidR="00404448" w:rsidRPr="00F415B8" w:rsidRDefault="00404448" w:rsidP="00404448">
            <w:pPr>
              <w:widowControl w:val="0"/>
              <w:autoSpaceDE w:val="0"/>
              <w:autoSpaceDN w:val="0"/>
              <w:adjustRightInd w:val="0"/>
              <w:spacing w:after="0"/>
              <w:jc w:val="center"/>
              <w:rPr>
                <w:rFonts w:cs="Arial"/>
                <w:szCs w:val="26"/>
              </w:rPr>
            </w:pPr>
            <w:r w:rsidRPr="00F415B8">
              <w:rPr>
                <w:rFonts w:cs="Arial"/>
                <w:szCs w:val="26"/>
              </w:rPr>
              <w:t>No</w:t>
            </w:r>
          </w:p>
        </w:tc>
        <w:tc>
          <w:tcPr>
            <w:tcW w:w="2642" w:type="dxa"/>
            <w:shd w:val="clear" w:color="auto" w:fill="E2E2E2"/>
            <w:tcMar>
              <w:top w:w="160" w:type="nil"/>
              <w:left w:w="160" w:type="nil"/>
              <w:bottom w:w="160" w:type="nil"/>
              <w:right w:w="160" w:type="nil"/>
            </w:tcMar>
            <w:vAlign w:val="center"/>
          </w:tcPr>
          <w:p w:rsidR="00404448" w:rsidRPr="00F415B8" w:rsidRDefault="00404448" w:rsidP="00404448">
            <w:pPr>
              <w:widowControl w:val="0"/>
              <w:autoSpaceDE w:val="0"/>
              <w:autoSpaceDN w:val="0"/>
              <w:adjustRightInd w:val="0"/>
              <w:spacing w:after="0"/>
              <w:jc w:val="center"/>
              <w:rPr>
                <w:rFonts w:cs="Arial"/>
                <w:szCs w:val="26"/>
              </w:rPr>
            </w:pPr>
            <w:r w:rsidRPr="00F415B8">
              <w:rPr>
                <w:rFonts w:cs="Arial"/>
                <w:szCs w:val="26"/>
              </w:rPr>
              <w:t>90°</w:t>
            </w:r>
          </w:p>
        </w:tc>
      </w:tr>
      <w:tr w:rsidR="00404448" w:rsidRPr="000E2C81">
        <w:tblPrEx>
          <w:tblBorders>
            <w:top w:val="none" w:sz="0" w:space="0" w:color="auto"/>
          </w:tblBorders>
        </w:tblPrEx>
        <w:tc>
          <w:tcPr>
            <w:tcW w:w="1548" w:type="dxa"/>
            <w:shd w:val="clear" w:color="auto" w:fill="E2E2E2"/>
            <w:tcMar>
              <w:top w:w="160" w:type="nil"/>
              <w:left w:w="160" w:type="nil"/>
              <w:bottom w:w="160" w:type="nil"/>
              <w:right w:w="160" w:type="nil"/>
            </w:tcMar>
            <w:vAlign w:val="center"/>
          </w:tcPr>
          <w:p w:rsidR="00404448" w:rsidRPr="00F415B8" w:rsidRDefault="00404448" w:rsidP="00404448">
            <w:pPr>
              <w:widowControl w:val="0"/>
              <w:autoSpaceDE w:val="0"/>
              <w:autoSpaceDN w:val="0"/>
              <w:adjustRightInd w:val="0"/>
              <w:spacing w:after="0"/>
              <w:jc w:val="center"/>
              <w:rPr>
                <w:rFonts w:cs="Arial"/>
                <w:szCs w:val="26"/>
              </w:rPr>
            </w:pPr>
            <w:r w:rsidRPr="00F415B8">
              <w:rPr>
                <w:rFonts w:cs="Arial"/>
                <w:szCs w:val="26"/>
              </w:rPr>
              <w:t>2</w:t>
            </w:r>
          </w:p>
        </w:tc>
        <w:tc>
          <w:tcPr>
            <w:tcW w:w="1710" w:type="dxa"/>
            <w:shd w:val="clear" w:color="auto" w:fill="E2E2E2"/>
            <w:tcMar>
              <w:top w:w="160" w:type="nil"/>
              <w:left w:w="160" w:type="nil"/>
              <w:bottom w:w="160" w:type="nil"/>
              <w:right w:w="160" w:type="nil"/>
            </w:tcMar>
            <w:vAlign w:val="center"/>
          </w:tcPr>
          <w:p w:rsidR="00404448" w:rsidRPr="00F415B8" w:rsidRDefault="00404448" w:rsidP="00404448">
            <w:pPr>
              <w:widowControl w:val="0"/>
              <w:autoSpaceDE w:val="0"/>
              <w:autoSpaceDN w:val="0"/>
              <w:adjustRightInd w:val="0"/>
              <w:spacing w:after="0"/>
              <w:jc w:val="center"/>
              <w:rPr>
                <w:rFonts w:cs="Arial"/>
                <w:szCs w:val="26"/>
              </w:rPr>
            </w:pPr>
            <w:r w:rsidRPr="00F415B8">
              <w:rPr>
                <w:rFonts w:cs="Arial"/>
                <w:szCs w:val="26"/>
              </w:rPr>
              <w:t>No</w:t>
            </w:r>
          </w:p>
        </w:tc>
        <w:tc>
          <w:tcPr>
            <w:tcW w:w="2642" w:type="dxa"/>
            <w:shd w:val="clear" w:color="auto" w:fill="E2E2E2"/>
            <w:tcMar>
              <w:top w:w="160" w:type="nil"/>
              <w:left w:w="160" w:type="nil"/>
              <w:bottom w:w="160" w:type="nil"/>
              <w:right w:w="160" w:type="nil"/>
            </w:tcMar>
            <w:vAlign w:val="center"/>
          </w:tcPr>
          <w:p w:rsidR="00404448" w:rsidRPr="00F415B8" w:rsidRDefault="00404448" w:rsidP="00404448">
            <w:pPr>
              <w:widowControl w:val="0"/>
              <w:autoSpaceDE w:val="0"/>
              <w:autoSpaceDN w:val="0"/>
              <w:adjustRightInd w:val="0"/>
              <w:spacing w:after="0"/>
              <w:jc w:val="center"/>
              <w:rPr>
                <w:rFonts w:cs="Arial"/>
                <w:szCs w:val="26"/>
              </w:rPr>
            </w:pPr>
            <w:r w:rsidRPr="00F415B8">
              <w:rPr>
                <w:rFonts w:cs="Arial"/>
                <w:szCs w:val="26"/>
              </w:rPr>
              <w:t>180°</w:t>
            </w:r>
          </w:p>
        </w:tc>
      </w:tr>
      <w:tr w:rsidR="00404448" w:rsidRPr="000E2C81">
        <w:tblPrEx>
          <w:tblBorders>
            <w:top w:val="none" w:sz="0" w:space="0" w:color="auto"/>
          </w:tblBorders>
        </w:tblPrEx>
        <w:tc>
          <w:tcPr>
            <w:tcW w:w="1548" w:type="dxa"/>
            <w:shd w:val="clear" w:color="auto" w:fill="E2E2E2"/>
            <w:tcMar>
              <w:top w:w="160" w:type="nil"/>
              <w:left w:w="160" w:type="nil"/>
              <w:bottom w:w="160" w:type="nil"/>
              <w:right w:w="160" w:type="nil"/>
            </w:tcMar>
            <w:vAlign w:val="center"/>
          </w:tcPr>
          <w:p w:rsidR="00404448" w:rsidRPr="00F415B8" w:rsidRDefault="00404448" w:rsidP="00404448">
            <w:pPr>
              <w:widowControl w:val="0"/>
              <w:autoSpaceDE w:val="0"/>
              <w:autoSpaceDN w:val="0"/>
              <w:adjustRightInd w:val="0"/>
              <w:spacing w:after="0"/>
              <w:jc w:val="center"/>
              <w:rPr>
                <w:rFonts w:cs="Arial"/>
                <w:szCs w:val="26"/>
              </w:rPr>
            </w:pPr>
            <w:r w:rsidRPr="00F415B8">
              <w:rPr>
                <w:rFonts w:cs="Arial"/>
                <w:szCs w:val="26"/>
              </w:rPr>
              <w:t>3</w:t>
            </w:r>
          </w:p>
        </w:tc>
        <w:tc>
          <w:tcPr>
            <w:tcW w:w="1710" w:type="dxa"/>
            <w:shd w:val="clear" w:color="auto" w:fill="E2E2E2"/>
            <w:tcMar>
              <w:top w:w="160" w:type="nil"/>
              <w:left w:w="160" w:type="nil"/>
              <w:bottom w:w="160" w:type="nil"/>
              <w:right w:w="160" w:type="nil"/>
            </w:tcMar>
            <w:vAlign w:val="center"/>
          </w:tcPr>
          <w:p w:rsidR="00404448" w:rsidRPr="00F415B8" w:rsidRDefault="00404448" w:rsidP="00404448">
            <w:pPr>
              <w:widowControl w:val="0"/>
              <w:autoSpaceDE w:val="0"/>
              <w:autoSpaceDN w:val="0"/>
              <w:adjustRightInd w:val="0"/>
              <w:spacing w:after="0"/>
              <w:jc w:val="center"/>
              <w:rPr>
                <w:rFonts w:cs="Arial"/>
                <w:szCs w:val="26"/>
              </w:rPr>
            </w:pPr>
            <w:r w:rsidRPr="00F415B8">
              <w:rPr>
                <w:rFonts w:cs="Arial"/>
                <w:szCs w:val="26"/>
              </w:rPr>
              <w:t>No</w:t>
            </w:r>
          </w:p>
        </w:tc>
        <w:tc>
          <w:tcPr>
            <w:tcW w:w="2642" w:type="dxa"/>
            <w:shd w:val="clear" w:color="auto" w:fill="E2E2E2"/>
            <w:tcMar>
              <w:top w:w="160" w:type="nil"/>
              <w:left w:w="160" w:type="nil"/>
              <w:bottom w:w="160" w:type="nil"/>
              <w:right w:w="160" w:type="nil"/>
            </w:tcMar>
            <w:vAlign w:val="center"/>
          </w:tcPr>
          <w:p w:rsidR="00404448" w:rsidRPr="00F415B8" w:rsidRDefault="00404448" w:rsidP="00404448">
            <w:pPr>
              <w:widowControl w:val="0"/>
              <w:autoSpaceDE w:val="0"/>
              <w:autoSpaceDN w:val="0"/>
              <w:adjustRightInd w:val="0"/>
              <w:spacing w:after="0"/>
              <w:jc w:val="center"/>
              <w:rPr>
                <w:rFonts w:cs="Arial"/>
                <w:szCs w:val="26"/>
              </w:rPr>
            </w:pPr>
            <w:r w:rsidRPr="00F415B8">
              <w:rPr>
                <w:rFonts w:cs="Arial"/>
                <w:szCs w:val="26"/>
              </w:rPr>
              <w:t>270°</w:t>
            </w:r>
          </w:p>
        </w:tc>
      </w:tr>
      <w:tr w:rsidR="00404448" w:rsidRPr="000E2C81">
        <w:tblPrEx>
          <w:tblBorders>
            <w:top w:val="none" w:sz="0" w:space="0" w:color="auto"/>
          </w:tblBorders>
        </w:tblPrEx>
        <w:tc>
          <w:tcPr>
            <w:tcW w:w="1548" w:type="dxa"/>
            <w:shd w:val="clear" w:color="auto" w:fill="E2E2E2"/>
            <w:tcMar>
              <w:top w:w="160" w:type="nil"/>
              <w:left w:w="160" w:type="nil"/>
              <w:bottom w:w="160" w:type="nil"/>
              <w:right w:w="160" w:type="nil"/>
            </w:tcMar>
            <w:vAlign w:val="center"/>
          </w:tcPr>
          <w:p w:rsidR="00404448" w:rsidRPr="00F415B8" w:rsidRDefault="00404448" w:rsidP="00404448">
            <w:pPr>
              <w:widowControl w:val="0"/>
              <w:autoSpaceDE w:val="0"/>
              <w:autoSpaceDN w:val="0"/>
              <w:adjustRightInd w:val="0"/>
              <w:spacing w:after="0"/>
              <w:jc w:val="center"/>
              <w:rPr>
                <w:rFonts w:cs="Arial"/>
                <w:szCs w:val="26"/>
              </w:rPr>
            </w:pPr>
            <w:r w:rsidRPr="00F415B8">
              <w:rPr>
                <w:rFonts w:cs="Arial"/>
                <w:szCs w:val="26"/>
              </w:rPr>
              <w:t>4</w:t>
            </w:r>
          </w:p>
        </w:tc>
        <w:tc>
          <w:tcPr>
            <w:tcW w:w="1710" w:type="dxa"/>
            <w:shd w:val="clear" w:color="auto" w:fill="E2E2E2"/>
            <w:tcMar>
              <w:top w:w="160" w:type="nil"/>
              <w:left w:w="160" w:type="nil"/>
              <w:bottom w:w="160" w:type="nil"/>
              <w:right w:w="160" w:type="nil"/>
            </w:tcMar>
            <w:vAlign w:val="center"/>
          </w:tcPr>
          <w:p w:rsidR="00404448" w:rsidRPr="00F415B8" w:rsidRDefault="00404448" w:rsidP="00404448">
            <w:pPr>
              <w:widowControl w:val="0"/>
              <w:autoSpaceDE w:val="0"/>
              <w:autoSpaceDN w:val="0"/>
              <w:adjustRightInd w:val="0"/>
              <w:spacing w:after="0"/>
              <w:jc w:val="center"/>
              <w:rPr>
                <w:rFonts w:cs="Arial"/>
                <w:szCs w:val="26"/>
              </w:rPr>
            </w:pPr>
            <w:r w:rsidRPr="00F415B8">
              <w:rPr>
                <w:rFonts w:cs="Arial"/>
                <w:szCs w:val="26"/>
              </w:rPr>
              <w:t>Yes</w:t>
            </w:r>
          </w:p>
        </w:tc>
        <w:tc>
          <w:tcPr>
            <w:tcW w:w="2642" w:type="dxa"/>
            <w:shd w:val="clear" w:color="auto" w:fill="E2E2E2"/>
            <w:tcMar>
              <w:top w:w="160" w:type="nil"/>
              <w:left w:w="160" w:type="nil"/>
              <w:bottom w:w="160" w:type="nil"/>
              <w:right w:w="160" w:type="nil"/>
            </w:tcMar>
            <w:vAlign w:val="center"/>
          </w:tcPr>
          <w:p w:rsidR="00404448" w:rsidRPr="00F415B8" w:rsidRDefault="00404448" w:rsidP="00404448">
            <w:pPr>
              <w:widowControl w:val="0"/>
              <w:autoSpaceDE w:val="0"/>
              <w:autoSpaceDN w:val="0"/>
              <w:adjustRightInd w:val="0"/>
              <w:spacing w:after="0"/>
              <w:jc w:val="center"/>
              <w:rPr>
                <w:rFonts w:cs="Arial"/>
                <w:szCs w:val="26"/>
              </w:rPr>
            </w:pPr>
            <w:r w:rsidRPr="00F415B8">
              <w:rPr>
                <w:rFonts w:cs="Arial"/>
                <w:szCs w:val="26"/>
              </w:rPr>
              <w:t>None</w:t>
            </w:r>
          </w:p>
        </w:tc>
      </w:tr>
      <w:tr w:rsidR="00404448" w:rsidRPr="000E2C81">
        <w:tblPrEx>
          <w:tblBorders>
            <w:top w:val="none" w:sz="0" w:space="0" w:color="auto"/>
          </w:tblBorders>
        </w:tblPrEx>
        <w:tc>
          <w:tcPr>
            <w:tcW w:w="1548" w:type="dxa"/>
            <w:shd w:val="clear" w:color="auto" w:fill="E2E2E2"/>
            <w:tcMar>
              <w:top w:w="160" w:type="nil"/>
              <w:left w:w="160" w:type="nil"/>
              <w:bottom w:w="160" w:type="nil"/>
              <w:right w:w="160" w:type="nil"/>
            </w:tcMar>
            <w:vAlign w:val="center"/>
          </w:tcPr>
          <w:p w:rsidR="00404448" w:rsidRPr="00F415B8" w:rsidRDefault="00404448" w:rsidP="00404448">
            <w:pPr>
              <w:widowControl w:val="0"/>
              <w:autoSpaceDE w:val="0"/>
              <w:autoSpaceDN w:val="0"/>
              <w:adjustRightInd w:val="0"/>
              <w:spacing w:after="0"/>
              <w:jc w:val="center"/>
              <w:rPr>
                <w:rFonts w:cs="Arial"/>
                <w:szCs w:val="26"/>
              </w:rPr>
            </w:pPr>
            <w:r w:rsidRPr="00F415B8">
              <w:rPr>
                <w:rFonts w:cs="Arial"/>
                <w:szCs w:val="26"/>
              </w:rPr>
              <w:t>5</w:t>
            </w:r>
          </w:p>
        </w:tc>
        <w:tc>
          <w:tcPr>
            <w:tcW w:w="1710" w:type="dxa"/>
            <w:shd w:val="clear" w:color="auto" w:fill="E2E2E2"/>
            <w:tcMar>
              <w:top w:w="160" w:type="nil"/>
              <w:left w:w="160" w:type="nil"/>
              <w:bottom w:w="160" w:type="nil"/>
              <w:right w:w="160" w:type="nil"/>
            </w:tcMar>
            <w:vAlign w:val="center"/>
          </w:tcPr>
          <w:p w:rsidR="00404448" w:rsidRPr="00F415B8" w:rsidRDefault="00404448" w:rsidP="00404448">
            <w:pPr>
              <w:widowControl w:val="0"/>
              <w:autoSpaceDE w:val="0"/>
              <w:autoSpaceDN w:val="0"/>
              <w:adjustRightInd w:val="0"/>
              <w:spacing w:after="0"/>
              <w:jc w:val="center"/>
              <w:rPr>
                <w:rFonts w:cs="Arial"/>
                <w:szCs w:val="26"/>
              </w:rPr>
            </w:pPr>
            <w:r w:rsidRPr="00F415B8">
              <w:rPr>
                <w:rFonts w:cs="Arial"/>
                <w:szCs w:val="26"/>
              </w:rPr>
              <w:t>Yes</w:t>
            </w:r>
          </w:p>
        </w:tc>
        <w:tc>
          <w:tcPr>
            <w:tcW w:w="2642" w:type="dxa"/>
            <w:shd w:val="clear" w:color="auto" w:fill="E2E2E2"/>
            <w:tcMar>
              <w:top w:w="160" w:type="nil"/>
              <w:left w:w="160" w:type="nil"/>
              <w:bottom w:w="160" w:type="nil"/>
              <w:right w:w="160" w:type="nil"/>
            </w:tcMar>
            <w:vAlign w:val="center"/>
          </w:tcPr>
          <w:p w:rsidR="00404448" w:rsidRPr="00F415B8" w:rsidRDefault="00404448" w:rsidP="00404448">
            <w:pPr>
              <w:widowControl w:val="0"/>
              <w:autoSpaceDE w:val="0"/>
              <w:autoSpaceDN w:val="0"/>
              <w:adjustRightInd w:val="0"/>
              <w:spacing w:after="0"/>
              <w:jc w:val="center"/>
              <w:rPr>
                <w:rFonts w:cs="Arial"/>
                <w:szCs w:val="26"/>
              </w:rPr>
            </w:pPr>
            <w:r w:rsidRPr="00F415B8">
              <w:rPr>
                <w:rFonts w:cs="Arial"/>
                <w:szCs w:val="26"/>
              </w:rPr>
              <w:t>90°</w:t>
            </w:r>
          </w:p>
        </w:tc>
      </w:tr>
      <w:tr w:rsidR="00404448" w:rsidRPr="000E2C81">
        <w:tblPrEx>
          <w:tblBorders>
            <w:top w:val="none" w:sz="0" w:space="0" w:color="auto"/>
          </w:tblBorders>
        </w:tblPrEx>
        <w:tc>
          <w:tcPr>
            <w:tcW w:w="1548" w:type="dxa"/>
            <w:shd w:val="clear" w:color="auto" w:fill="E2E2E2"/>
            <w:tcMar>
              <w:top w:w="160" w:type="nil"/>
              <w:left w:w="160" w:type="nil"/>
              <w:bottom w:w="160" w:type="nil"/>
              <w:right w:w="160" w:type="nil"/>
            </w:tcMar>
            <w:vAlign w:val="center"/>
          </w:tcPr>
          <w:p w:rsidR="00404448" w:rsidRPr="00F415B8" w:rsidRDefault="00404448" w:rsidP="00404448">
            <w:pPr>
              <w:widowControl w:val="0"/>
              <w:autoSpaceDE w:val="0"/>
              <w:autoSpaceDN w:val="0"/>
              <w:adjustRightInd w:val="0"/>
              <w:spacing w:after="0"/>
              <w:jc w:val="center"/>
              <w:rPr>
                <w:rFonts w:cs="Arial"/>
                <w:szCs w:val="26"/>
              </w:rPr>
            </w:pPr>
            <w:r w:rsidRPr="00F415B8">
              <w:rPr>
                <w:rFonts w:cs="Arial"/>
                <w:szCs w:val="26"/>
              </w:rPr>
              <w:t>6</w:t>
            </w:r>
          </w:p>
        </w:tc>
        <w:tc>
          <w:tcPr>
            <w:tcW w:w="1710" w:type="dxa"/>
            <w:shd w:val="clear" w:color="auto" w:fill="E2E2E2"/>
            <w:tcMar>
              <w:top w:w="160" w:type="nil"/>
              <w:left w:w="160" w:type="nil"/>
              <w:bottom w:w="160" w:type="nil"/>
              <w:right w:w="160" w:type="nil"/>
            </w:tcMar>
            <w:vAlign w:val="center"/>
          </w:tcPr>
          <w:p w:rsidR="00404448" w:rsidRPr="00F415B8" w:rsidRDefault="00404448" w:rsidP="00404448">
            <w:pPr>
              <w:widowControl w:val="0"/>
              <w:autoSpaceDE w:val="0"/>
              <w:autoSpaceDN w:val="0"/>
              <w:adjustRightInd w:val="0"/>
              <w:spacing w:after="0"/>
              <w:jc w:val="center"/>
              <w:rPr>
                <w:rFonts w:cs="Arial"/>
                <w:szCs w:val="26"/>
              </w:rPr>
            </w:pPr>
            <w:r w:rsidRPr="00F415B8">
              <w:rPr>
                <w:rFonts w:cs="Arial"/>
                <w:szCs w:val="26"/>
              </w:rPr>
              <w:t>Yes</w:t>
            </w:r>
          </w:p>
        </w:tc>
        <w:tc>
          <w:tcPr>
            <w:tcW w:w="2642" w:type="dxa"/>
            <w:shd w:val="clear" w:color="auto" w:fill="E2E2E2"/>
            <w:tcMar>
              <w:top w:w="160" w:type="nil"/>
              <w:left w:w="160" w:type="nil"/>
              <w:bottom w:w="160" w:type="nil"/>
              <w:right w:w="160" w:type="nil"/>
            </w:tcMar>
            <w:vAlign w:val="center"/>
          </w:tcPr>
          <w:p w:rsidR="00404448" w:rsidRPr="00F415B8" w:rsidRDefault="00404448" w:rsidP="00404448">
            <w:pPr>
              <w:widowControl w:val="0"/>
              <w:autoSpaceDE w:val="0"/>
              <w:autoSpaceDN w:val="0"/>
              <w:adjustRightInd w:val="0"/>
              <w:spacing w:after="0"/>
              <w:jc w:val="center"/>
              <w:rPr>
                <w:rFonts w:cs="Arial"/>
                <w:szCs w:val="26"/>
              </w:rPr>
            </w:pPr>
            <w:r w:rsidRPr="00F415B8">
              <w:rPr>
                <w:rFonts w:cs="Arial"/>
                <w:szCs w:val="26"/>
              </w:rPr>
              <w:t>180°</w:t>
            </w:r>
          </w:p>
        </w:tc>
      </w:tr>
      <w:tr w:rsidR="00404448" w:rsidRPr="000E2C81">
        <w:tc>
          <w:tcPr>
            <w:tcW w:w="1548" w:type="dxa"/>
            <w:shd w:val="clear" w:color="auto" w:fill="E2E2E2"/>
            <w:tcMar>
              <w:top w:w="160" w:type="nil"/>
              <w:left w:w="160" w:type="nil"/>
              <w:bottom w:w="160" w:type="nil"/>
              <w:right w:w="160" w:type="nil"/>
            </w:tcMar>
            <w:vAlign w:val="center"/>
          </w:tcPr>
          <w:p w:rsidR="00404448" w:rsidRPr="00F415B8" w:rsidRDefault="00404448" w:rsidP="00404448">
            <w:pPr>
              <w:widowControl w:val="0"/>
              <w:autoSpaceDE w:val="0"/>
              <w:autoSpaceDN w:val="0"/>
              <w:adjustRightInd w:val="0"/>
              <w:spacing w:after="0"/>
              <w:jc w:val="center"/>
              <w:rPr>
                <w:rFonts w:cs="Arial"/>
                <w:szCs w:val="26"/>
              </w:rPr>
            </w:pPr>
            <w:r w:rsidRPr="00F415B8">
              <w:rPr>
                <w:rFonts w:cs="Arial"/>
                <w:szCs w:val="26"/>
              </w:rPr>
              <w:t>7</w:t>
            </w:r>
          </w:p>
        </w:tc>
        <w:tc>
          <w:tcPr>
            <w:tcW w:w="1710" w:type="dxa"/>
            <w:shd w:val="clear" w:color="auto" w:fill="E2E2E2"/>
            <w:tcMar>
              <w:top w:w="160" w:type="nil"/>
              <w:left w:w="160" w:type="nil"/>
              <w:bottom w:w="160" w:type="nil"/>
              <w:right w:w="160" w:type="nil"/>
            </w:tcMar>
            <w:vAlign w:val="center"/>
          </w:tcPr>
          <w:p w:rsidR="00404448" w:rsidRPr="00F415B8" w:rsidRDefault="00404448" w:rsidP="00404448">
            <w:pPr>
              <w:widowControl w:val="0"/>
              <w:autoSpaceDE w:val="0"/>
              <w:autoSpaceDN w:val="0"/>
              <w:adjustRightInd w:val="0"/>
              <w:spacing w:after="0"/>
              <w:jc w:val="center"/>
              <w:rPr>
                <w:rFonts w:cs="Arial"/>
                <w:szCs w:val="26"/>
              </w:rPr>
            </w:pPr>
            <w:r w:rsidRPr="00F415B8">
              <w:rPr>
                <w:rFonts w:cs="Arial"/>
                <w:szCs w:val="26"/>
              </w:rPr>
              <w:t>Yes</w:t>
            </w:r>
          </w:p>
        </w:tc>
        <w:tc>
          <w:tcPr>
            <w:tcW w:w="2642" w:type="dxa"/>
            <w:shd w:val="clear" w:color="auto" w:fill="E2E2E2"/>
            <w:tcMar>
              <w:top w:w="160" w:type="nil"/>
              <w:left w:w="160" w:type="nil"/>
              <w:bottom w:w="160" w:type="nil"/>
              <w:right w:w="160" w:type="nil"/>
            </w:tcMar>
            <w:vAlign w:val="center"/>
          </w:tcPr>
          <w:p w:rsidR="00404448" w:rsidRPr="00F415B8" w:rsidRDefault="00404448" w:rsidP="00404448">
            <w:pPr>
              <w:widowControl w:val="0"/>
              <w:autoSpaceDE w:val="0"/>
              <w:autoSpaceDN w:val="0"/>
              <w:adjustRightInd w:val="0"/>
              <w:spacing w:after="0"/>
              <w:jc w:val="center"/>
              <w:rPr>
                <w:rFonts w:cs="Arial"/>
                <w:szCs w:val="26"/>
              </w:rPr>
            </w:pPr>
            <w:r w:rsidRPr="00F415B8">
              <w:rPr>
                <w:rFonts w:cs="Arial"/>
                <w:szCs w:val="26"/>
              </w:rPr>
              <w:t>270°</w:t>
            </w:r>
          </w:p>
        </w:tc>
      </w:tr>
    </w:tbl>
    <w:p w:rsidR="00404448" w:rsidRDefault="00404448" w:rsidP="00404448">
      <w:pPr>
        <w:jc w:val="center"/>
      </w:pPr>
    </w:p>
    <w:p w:rsidR="00404448" w:rsidRPr="002930C8" w:rsidRDefault="00404448" w:rsidP="00404448"/>
    <w:p w:rsidR="00404448" w:rsidRDefault="00404448" w:rsidP="00404448">
      <w:pPr>
        <w:pStyle w:val="Heading1"/>
      </w:pPr>
      <w:bookmarkStart w:id="294" w:name="_Ref200444167"/>
      <w:bookmarkStart w:id="295" w:name="_Toc322942229"/>
      <w:r>
        <w:t>Acronyms and Abbreviation List</w:t>
      </w:r>
      <w:bookmarkEnd w:id="294"/>
      <w:bookmarkEnd w:id="295"/>
    </w:p>
    <w:tbl>
      <w:tblPr>
        <w:tblW w:w="0" w:type="auto"/>
        <w:tblInd w:w="78" w:type="dxa"/>
        <w:tblLayout w:type="fixed"/>
        <w:tblLook w:val="0000"/>
      </w:tblPr>
      <w:tblGrid>
        <w:gridCol w:w="1166"/>
        <w:gridCol w:w="5804"/>
      </w:tblGrid>
      <w:tr w:rsidR="00404448" w:rsidRPr="0031063A">
        <w:trPr>
          <w:trHeight w:val="305"/>
        </w:trPr>
        <w:tc>
          <w:tcPr>
            <w:tcW w:w="1166"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sidRPr="0031063A">
              <w:rPr>
                <w:rFonts w:ascii="Times New Roman" w:eastAsia="Times New Roman" w:hAnsi="Times New Roman"/>
                <w:color w:val="000000"/>
              </w:rPr>
              <w:t>ACS</w:t>
            </w:r>
          </w:p>
        </w:tc>
        <w:tc>
          <w:tcPr>
            <w:tcW w:w="5804"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sidRPr="0031063A">
              <w:rPr>
                <w:rFonts w:ascii="Times New Roman" w:eastAsia="Times New Roman" w:hAnsi="Times New Roman"/>
                <w:color w:val="000000"/>
              </w:rPr>
              <w:t>Advanced Camera for Surveys</w:t>
            </w:r>
          </w:p>
        </w:tc>
      </w:tr>
      <w:tr w:rsidR="004A7981" w:rsidRPr="0031063A">
        <w:trPr>
          <w:trHeight w:val="305"/>
        </w:trPr>
        <w:tc>
          <w:tcPr>
            <w:tcW w:w="1166" w:type="dxa"/>
            <w:tcBorders>
              <w:top w:val="nil"/>
              <w:left w:val="nil"/>
              <w:bottom w:val="nil"/>
              <w:right w:val="nil"/>
            </w:tcBorders>
          </w:tcPr>
          <w:p w:rsidR="004A7981" w:rsidRDefault="004A7981" w:rsidP="00404448">
            <w:pPr>
              <w:autoSpaceDE w:val="0"/>
              <w:autoSpaceDN w:val="0"/>
              <w:adjustRightInd w:val="0"/>
              <w:spacing w:after="0"/>
              <w:rPr>
                <w:rFonts w:ascii="Times New Roman" w:eastAsia="Times New Roman" w:hAnsi="Times New Roman"/>
                <w:color w:val="000000"/>
              </w:rPr>
            </w:pPr>
            <w:r>
              <w:rPr>
                <w:rFonts w:ascii="Times New Roman" w:eastAsia="Times New Roman" w:hAnsi="Times New Roman"/>
                <w:color w:val="000000"/>
              </w:rPr>
              <w:t>ADAP</w:t>
            </w:r>
          </w:p>
        </w:tc>
        <w:tc>
          <w:tcPr>
            <w:tcW w:w="5804" w:type="dxa"/>
            <w:tcBorders>
              <w:top w:val="nil"/>
              <w:left w:val="nil"/>
              <w:bottom w:val="nil"/>
              <w:right w:val="nil"/>
            </w:tcBorders>
          </w:tcPr>
          <w:p w:rsidR="004A7981" w:rsidRDefault="004A7981" w:rsidP="00404448">
            <w:pPr>
              <w:autoSpaceDE w:val="0"/>
              <w:autoSpaceDN w:val="0"/>
              <w:adjustRightInd w:val="0"/>
              <w:spacing w:after="0"/>
              <w:rPr>
                <w:rFonts w:ascii="Times New Roman" w:eastAsia="Times New Roman" w:hAnsi="Times New Roman"/>
                <w:color w:val="000000"/>
              </w:rPr>
            </w:pPr>
            <w:r>
              <w:rPr>
                <w:rFonts w:ascii="Times New Roman" w:eastAsia="Times New Roman" w:hAnsi="Times New Roman"/>
                <w:color w:val="000000"/>
              </w:rPr>
              <w:t xml:space="preserve">Astrophysics </w:t>
            </w:r>
            <w:r w:rsidRPr="0031063A">
              <w:rPr>
                <w:rFonts w:ascii="Times New Roman" w:eastAsia="Times New Roman" w:hAnsi="Times New Roman"/>
                <w:color w:val="000000"/>
              </w:rPr>
              <w:t>Data Analysis Program</w:t>
            </w:r>
          </w:p>
        </w:tc>
      </w:tr>
      <w:tr w:rsidR="00404448" w:rsidRPr="0031063A">
        <w:trPr>
          <w:trHeight w:val="305"/>
        </w:trPr>
        <w:tc>
          <w:tcPr>
            <w:tcW w:w="1166"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Pr>
                <w:rFonts w:ascii="Times New Roman" w:eastAsia="Times New Roman" w:hAnsi="Times New Roman"/>
                <w:color w:val="000000"/>
              </w:rPr>
              <w:t>ADC</w:t>
            </w:r>
          </w:p>
        </w:tc>
        <w:tc>
          <w:tcPr>
            <w:tcW w:w="5804" w:type="dxa"/>
            <w:tcBorders>
              <w:top w:val="nil"/>
              <w:left w:val="nil"/>
              <w:bottom w:val="nil"/>
              <w:right w:val="nil"/>
            </w:tcBorders>
          </w:tcPr>
          <w:p w:rsidR="00404448" w:rsidRDefault="00404448" w:rsidP="00404448">
            <w:pPr>
              <w:autoSpaceDE w:val="0"/>
              <w:autoSpaceDN w:val="0"/>
              <w:adjustRightInd w:val="0"/>
              <w:spacing w:after="0"/>
              <w:rPr>
                <w:rFonts w:ascii="Times New Roman" w:eastAsia="Times New Roman" w:hAnsi="Times New Roman"/>
                <w:color w:val="000000"/>
              </w:rPr>
            </w:pPr>
            <w:r>
              <w:rPr>
                <w:rFonts w:ascii="Times New Roman" w:eastAsia="Times New Roman" w:hAnsi="Times New Roman"/>
                <w:color w:val="000000"/>
              </w:rPr>
              <w:t>Analog to Digital Converter</w:t>
            </w:r>
          </w:p>
        </w:tc>
      </w:tr>
      <w:tr w:rsidR="00404448" w:rsidRPr="0031063A">
        <w:trPr>
          <w:trHeight w:val="305"/>
        </w:trPr>
        <w:tc>
          <w:tcPr>
            <w:tcW w:w="1166"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sidRPr="0031063A">
              <w:rPr>
                <w:rFonts w:ascii="Times New Roman" w:eastAsia="Times New Roman" w:hAnsi="Times New Roman"/>
                <w:color w:val="000000"/>
              </w:rPr>
              <w:t xml:space="preserve">ADCS </w:t>
            </w:r>
          </w:p>
        </w:tc>
        <w:tc>
          <w:tcPr>
            <w:tcW w:w="5804"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Pr>
                <w:rFonts w:ascii="Times New Roman" w:eastAsia="Times New Roman" w:hAnsi="Times New Roman"/>
                <w:color w:val="000000"/>
              </w:rPr>
              <w:t>A</w:t>
            </w:r>
            <w:r w:rsidRPr="0031063A">
              <w:rPr>
                <w:rFonts w:ascii="Times New Roman" w:eastAsia="Times New Roman" w:hAnsi="Times New Roman"/>
                <w:color w:val="000000"/>
              </w:rPr>
              <w:t xml:space="preserve">ttitude </w:t>
            </w:r>
            <w:r>
              <w:rPr>
                <w:rFonts w:ascii="Times New Roman" w:eastAsia="Times New Roman" w:hAnsi="Times New Roman"/>
                <w:color w:val="000000"/>
              </w:rPr>
              <w:t>Determination and Control S</w:t>
            </w:r>
            <w:r w:rsidRPr="0031063A">
              <w:rPr>
                <w:rFonts w:ascii="Times New Roman" w:eastAsia="Times New Roman" w:hAnsi="Times New Roman"/>
                <w:color w:val="000000"/>
              </w:rPr>
              <w:t>ubsystem</w:t>
            </w:r>
          </w:p>
        </w:tc>
      </w:tr>
      <w:tr w:rsidR="00404448" w:rsidRPr="0031063A">
        <w:trPr>
          <w:trHeight w:val="305"/>
        </w:trPr>
        <w:tc>
          <w:tcPr>
            <w:tcW w:w="1166" w:type="dxa"/>
            <w:tcBorders>
              <w:top w:val="nil"/>
              <w:left w:val="nil"/>
              <w:bottom w:val="nil"/>
              <w:right w:val="nil"/>
            </w:tcBorders>
          </w:tcPr>
          <w:p w:rsidR="00404448" w:rsidRDefault="00404448" w:rsidP="00404448">
            <w:pPr>
              <w:autoSpaceDE w:val="0"/>
              <w:autoSpaceDN w:val="0"/>
              <w:adjustRightInd w:val="0"/>
              <w:spacing w:after="0"/>
              <w:rPr>
                <w:rFonts w:ascii="Times New Roman" w:eastAsia="Times New Roman" w:hAnsi="Times New Roman"/>
                <w:color w:val="000000"/>
              </w:rPr>
            </w:pPr>
            <w:r>
              <w:rPr>
                <w:rFonts w:ascii="Times New Roman" w:eastAsia="Times New Roman" w:hAnsi="Times New Roman"/>
                <w:color w:val="000000"/>
              </w:rPr>
              <w:t>ARP</w:t>
            </w:r>
          </w:p>
        </w:tc>
        <w:tc>
          <w:tcPr>
            <w:tcW w:w="5804" w:type="dxa"/>
            <w:tcBorders>
              <w:top w:val="nil"/>
              <w:left w:val="nil"/>
              <w:bottom w:val="nil"/>
              <w:right w:val="nil"/>
            </w:tcBorders>
          </w:tcPr>
          <w:p w:rsidR="00404448" w:rsidRDefault="00404448" w:rsidP="00404448">
            <w:pPr>
              <w:autoSpaceDE w:val="0"/>
              <w:autoSpaceDN w:val="0"/>
              <w:adjustRightInd w:val="0"/>
              <w:spacing w:after="0"/>
              <w:rPr>
                <w:rFonts w:ascii="Times New Roman" w:eastAsia="Times New Roman" w:hAnsi="Times New Roman"/>
                <w:color w:val="000000"/>
              </w:rPr>
            </w:pPr>
            <w:r>
              <w:rPr>
                <w:rFonts w:ascii="Times New Roman" w:eastAsia="Times New Roman" w:hAnsi="Times New Roman"/>
                <w:color w:val="000000"/>
              </w:rPr>
              <w:t>Artifact Removal Pixel</w:t>
            </w:r>
          </w:p>
        </w:tc>
      </w:tr>
      <w:tr w:rsidR="00404448" w:rsidRPr="0031063A">
        <w:trPr>
          <w:trHeight w:val="305"/>
        </w:trPr>
        <w:tc>
          <w:tcPr>
            <w:tcW w:w="1166"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Pr>
                <w:rFonts w:ascii="Times New Roman" w:eastAsia="Times New Roman" w:hAnsi="Times New Roman"/>
                <w:color w:val="000000"/>
              </w:rPr>
              <w:t>BATC</w:t>
            </w:r>
          </w:p>
        </w:tc>
        <w:tc>
          <w:tcPr>
            <w:tcW w:w="5804" w:type="dxa"/>
            <w:tcBorders>
              <w:top w:val="nil"/>
              <w:left w:val="nil"/>
              <w:bottom w:val="nil"/>
              <w:right w:val="nil"/>
            </w:tcBorders>
          </w:tcPr>
          <w:p w:rsidR="00404448" w:rsidRDefault="00404448" w:rsidP="00404448">
            <w:pPr>
              <w:autoSpaceDE w:val="0"/>
              <w:autoSpaceDN w:val="0"/>
              <w:adjustRightInd w:val="0"/>
              <w:spacing w:after="0"/>
              <w:rPr>
                <w:rFonts w:ascii="Times New Roman" w:eastAsia="Times New Roman" w:hAnsi="Times New Roman"/>
                <w:color w:val="000000"/>
              </w:rPr>
            </w:pPr>
            <w:r>
              <w:rPr>
                <w:rFonts w:ascii="Times New Roman" w:eastAsia="Times New Roman" w:hAnsi="Times New Roman"/>
                <w:color w:val="000000"/>
              </w:rPr>
              <w:t>Ball Aerospace &amp; Technologies Corp.</w:t>
            </w:r>
          </w:p>
        </w:tc>
      </w:tr>
      <w:tr w:rsidR="00404448" w:rsidRPr="0031063A">
        <w:trPr>
          <w:trHeight w:val="305"/>
        </w:trPr>
        <w:tc>
          <w:tcPr>
            <w:tcW w:w="1166" w:type="dxa"/>
            <w:tcBorders>
              <w:top w:val="nil"/>
              <w:left w:val="nil"/>
              <w:bottom w:val="nil"/>
              <w:right w:val="nil"/>
            </w:tcBorders>
          </w:tcPr>
          <w:p w:rsidR="00404448" w:rsidRDefault="00404448" w:rsidP="00404448">
            <w:pPr>
              <w:autoSpaceDE w:val="0"/>
              <w:autoSpaceDN w:val="0"/>
              <w:adjustRightInd w:val="0"/>
              <w:spacing w:after="0"/>
              <w:rPr>
                <w:rFonts w:ascii="Times New Roman" w:eastAsia="Times New Roman" w:hAnsi="Times New Roman"/>
                <w:color w:val="000000"/>
              </w:rPr>
            </w:pPr>
            <w:r>
              <w:rPr>
                <w:rFonts w:ascii="Times New Roman" w:eastAsia="Times New Roman" w:hAnsi="Times New Roman"/>
                <w:color w:val="000000"/>
              </w:rPr>
              <w:t>BG</w:t>
            </w:r>
          </w:p>
        </w:tc>
        <w:tc>
          <w:tcPr>
            <w:tcW w:w="5804" w:type="dxa"/>
            <w:tcBorders>
              <w:top w:val="nil"/>
              <w:left w:val="nil"/>
              <w:bottom w:val="nil"/>
              <w:right w:val="nil"/>
            </w:tcBorders>
          </w:tcPr>
          <w:p w:rsidR="00404448" w:rsidRDefault="00EB37F3" w:rsidP="00404448">
            <w:pPr>
              <w:autoSpaceDE w:val="0"/>
              <w:autoSpaceDN w:val="0"/>
              <w:adjustRightInd w:val="0"/>
              <w:spacing w:after="0"/>
              <w:rPr>
                <w:rFonts w:ascii="Times New Roman" w:eastAsia="Times New Roman" w:hAnsi="Times New Roman"/>
                <w:color w:val="000000"/>
              </w:rPr>
            </w:pPr>
            <w:r>
              <w:rPr>
                <w:rFonts w:ascii="Times New Roman" w:eastAsia="Times New Roman" w:hAnsi="Times New Roman"/>
                <w:color w:val="000000"/>
              </w:rPr>
              <w:t>Background</w:t>
            </w:r>
            <w:r w:rsidR="00404448">
              <w:rPr>
                <w:rFonts w:ascii="Times New Roman" w:eastAsia="Times New Roman" w:hAnsi="Times New Roman"/>
                <w:color w:val="000000"/>
              </w:rPr>
              <w:t xml:space="preserve"> pixel of interest</w:t>
            </w:r>
          </w:p>
        </w:tc>
      </w:tr>
      <w:tr w:rsidR="00404448" w:rsidRPr="0031063A">
        <w:trPr>
          <w:trHeight w:val="305"/>
        </w:trPr>
        <w:tc>
          <w:tcPr>
            <w:tcW w:w="1166"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sidRPr="0031063A">
              <w:rPr>
                <w:rFonts w:ascii="Times New Roman" w:eastAsia="Times New Roman" w:hAnsi="Times New Roman"/>
                <w:color w:val="000000"/>
              </w:rPr>
              <w:t>BOL</w:t>
            </w:r>
          </w:p>
        </w:tc>
        <w:tc>
          <w:tcPr>
            <w:tcW w:w="5804"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sidRPr="0031063A">
              <w:rPr>
                <w:rFonts w:ascii="Times New Roman" w:eastAsia="Times New Roman" w:hAnsi="Times New Roman"/>
                <w:color w:val="000000"/>
              </w:rPr>
              <w:t>Beginning Of Life</w:t>
            </w:r>
          </w:p>
        </w:tc>
      </w:tr>
      <w:tr w:rsidR="00404448" w:rsidRPr="0031063A">
        <w:trPr>
          <w:trHeight w:val="305"/>
        </w:trPr>
        <w:tc>
          <w:tcPr>
            <w:tcW w:w="1166"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Pr>
                <w:rFonts w:ascii="Times New Roman" w:eastAsia="Times New Roman" w:hAnsi="Times New Roman"/>
                <w:color w:val="000000"/>
              </w:rPr>
              <w:t>BPF</w:t>
            </w:r>
          </w:p>
        </w:tc>
        <w:tc>
          <w:tcPr>
            <w:tcW w:w="5804"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Pr>
                <w:rFonts w:ascii="Times New Roman" w:eastAsia="Times New Roman" w:hAnsi="Times New Roman"/>
                <w:color w:val="000000"/>
              </w:rPr>
              <w:t>Band Pass Filter</w:t>
            </w:r>
          </w:p>
        </w:tc>
      </w:tr>
      <w:tr w:rsidR="00404448" w:rsidRPr="0031063A">
        <w:trPr>
          <w:trHeight w:val="305"/>
        </w:trPr>
        <w:tc>
          <w:tcPr>
            <w:tcW w:w="1166"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sidRPr="0031063A">
              <w:rPr>
                <w:rFonts w:ascii="Times New Roman" w:eastAsia="Times New Roman" w:hAnsi="Times New Roman"/>
                <w:color w:val="000000"/>
              </w:rPr>
              <w:t>CCD</w:t>
            </w:r>
          </w:p>
        </w:tc>
        <w:tc>
          <w:tcPr>
            <w:tcW w:w="5804"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sidRPr="0031063A">
              <w:rPr>
                <w:rFonts w:ascii="Times New Roman" w:eastAsia="Times New Roman" w:hAnsi="Times New Roman"/>
                <w:color w:val="000000"/>
              </w:rPr>
              <w:t>Charge Coupled Device</w:t>
            </w:r>
          </w:p>
        </w:tc>
      </w:tr>
      <w:tr w:rsidR="00404448" w:rsidRPr="0031063A">
        <w:trPr>
          <w:trHeight w:val="305"/>
        </w:trPr>
        <w:tc>
          <w:tcPr>
            <w:tcW w:w="1166"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sidRPr="0031063A">
              <w:rPr>
                <w:rFonts w:ascii="Times New Roman" w:eastAsia="Times New Roman" w:hAnsi="Times New Roman"/>
                <w:color w:val="000000"/>
              </w:rPr>
              <w:t>CDPP</w:t>
            </w:r>
          </w:p>
        </w:tc>
        <w:tc>
          <w:tcPr>
            <w:tcW w:w="5804"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sidRPr="0031063A">
              <w:rPr>
                <w:rFonts w:ascii="Times New Roman" w:eastAsia="Times New Roman" w:hAnsi="Times New Roman"/>
                <w:color w:val="000000"/>
              </w:rPr>
              <w:t>Combined Differential Photometric Performance</w:t>
            </w:r>
          </w:p>
        </w:tc>
      </w:tr>
      <w:tr w:rsidR="00404448" w:rsidRPr="0031063A">
        <w:trPr>
          <w:trHeight w:val="305"/>
        </w:trPr>
        <w:tc>
          <w:tcPr>
            <w:tcW w:w="1166" w:type="dxa"/>
            <w:tcBorders>
              <w:top w:val="nil"/>
              <w:left w:val="nil"/>
              <w:bottom w:val="nil"/>
              <w:right w:val="nil"/>
            </w:tcBorders>
          </w:tcPr>
          <w:p w:rsidR="00404448" w:rsidRDefault="00404448" w:rsidP="00404448">
            <w:pPr>
              <w:autoSpaceDE w:val="0"/>
              <w:autoSpaceDN w:val="0"/>
              <w:adjustRightInd w:val="0"/>
              <w:spacing w:after="0"/>
              <w:rPr>
                <w:rFonts w:ascii="Times New Roman" w:eastAsia="Times New Roman" w:hAnsi="Times New Roman"/>
                <w:color w:val="000000"/>
              </w:rPr>
            </w:pPr>
            <w:r>
              <w:rPr>
                <w:rFonts w:ascii="Times New Roman" w:eastAsia="Times New Roman" w:hAnsi="Times New Roman"/>
                <w:color w:val="000000"/>
              </w:rPr>
              <w:t>CDS</w:t>
            </w:r>
          </w:p>
        </w:tc>
        <w:tc>
          <w:tcPr>
            <w:tcW w:w="5804" w:type="dxa"/>
            <w:tcBorders>
              <w:top w:val="nil"/>
              <w:left w:val="nil"/>
              <w:bottom w:val="nil"/>
              <w:right w:val="nil"/>
            </w:tcBorders>
          </w:tcPr>
          <w:p w:rsidR="00404448" w:rsidRDefault="00404448" w:rsidP="00404448">
            <w:pPr>
              <w:autoSpaceDE w:val="0"/>
              <w:autoSpaceDN w:val="0"/>
              <w:adjustRightInd w:val="0"/>
              <w:spacing w:after="0"/>
              <w:rPr>
                <w:rFonts w:ascii="Times New Roman" w:eastAsia="Times New Roman" w:hAnsi="Times New Roman"/>
                <w:color w:val="000000"/>
              </w:rPr>
            </w:pPr>
            <w:r>
              <w:rPr>
                <w:rFonts w:ascii="Times New Roman" w:eastAsia="Times New Roman" w:hAnsi="Times New Roman"/>
                <w:color w:val="000000"/>
              </w:rPr>
              <w:t>Correlated Double Sampling</w:t>
            </w:r>
          </w:p>
        </w:tc>
      </w:tr>
      <w:tr w:rsidR="00404448" w:rsidRPr="0031063A">
        <w:trPr>
          <w:trHeight w:val="305"/>
        </w:trPr>
        <w:tc>
          <w:tcPr>
            <w:tcW w:w="1166"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Pr>
                <w:rFonts w:ascii="Times New Roman" w:eastAsia="Times New Roman" w:hAnsi="Times New Roman"/>
                <w:color w:val="000000"/>
              </w:rPr>
              <w:t>CR</w:t>
            </w:r>
          </w:p>
        </w:tc>
        <w:tc>
          <w:tcPr>
            <w:tcW w:w="5804"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Pr>
                <w:rFonts w:ascii="Times New Roman" w:eastAsia="Times New Roman" w:hAnsi="Times New Roman"/>
                <w:color w:val="000000"/>
              </w:rPr>
              <w:t>Cosmic Ray</w:t>
            </w:r>
          </w:p>
        </w:tc>
      </w:tr>
      <w:tr w:rsidR="00404448" w:rsidRPr="0031063A">
        <w:trPr>
          <w:trHeight w:val="305"/>
        </w:trPr>
        <w:tc>
          <w:tcPr>
            <w:tcW w:w="1166"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sidRPr="0031063A">
              <w:rPr>
                <w:rFonts w:ascii="Times New Roman" w:eastAsia="Times New Roman" w:hAnsi="Times New Roman"/>
                <w:color w:val="000000"/>
              </w:rPr>
              <w:t>CTE</w:t>
            </w:r>
          </w:p>
        </w:tc>
        <w:tc>
          <w:tcPr>
            <w:tcW w:w="5804"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sidRPr="0031063A">
              <w:rPr>
                <w:rFonts w:ascii="Times New Roman" w:eastAsia="Times New Roman" w:hAnsi="Times New Roman"/>
                <w:color w:val="000000"/>
              </w:rPr>
              <w:t>Charge Transfer Efficiency</w:t>
            </w:r>
          </w:p>
        </w:tc>
      </w:tr>
      <w:tr w:rsidR="00404448" w:rsidRPr="0031063A">
        <w:trPr>
          <w:trHeight w:val="305"/>
        </w:trPr>
        <w:tc>
          <w:tcPr>
            <w:tcW w:w="1166"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sidRPr="0031063A">
              <w:rPr>
                <w:rFonts w:ascii="Times New Roman" w:eastAsia="Times New Roman" w:hAnsi="Times New Roman"/>
                <w:color w:val="000000"/>
              </w:rPr>
              <w:t xml:space="preserve">CTI </w:t>
            </w:r>
          </w:p>
        </w:tc>
        <w:tc>
          <w:tcPr>
            <w:tcW w:w="5804"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sidRPr="0031063A">
              <w:rPr>
                <w:rFonts w:ascii="Times New Roman" w:eastAsia="Times New Roman" w:hAnsi="Times New Roman"/>
                <w:color w:val="000000"/>
              </w:rPr>
              <w:t>Charge Transfer Inefficiency</w:t>
            </w:r>
          </w:p>
        </w:tc>
      </w:tr>
      <w:tr w:rsidR="00404448" w:rsidRPr="0031063A">
        <w:trPr>
          <w:trHeight w:val="305"/>
        </w:trPr>
        <w:tc>
          <w:tcPr>
            <w:tcW w:w="1166"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Pr>
                <w:rFonts w:ascii="Times New Roman" w:eastAsia="Times New Roman" w:hAnsi="Times New Roman"/>
                <w:color w:val="000000"/>
              </w:rPr>
              <w:t>DAA</w:t>
            </w:r>
          </w:p>
        </w:tc>
        <w:tc>
          <w:tcPr>
            <w:tcW w:w="5804"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Pr>
                <w:rFonts w:ascii="Times New Roman" w:eastAsia="Times New Roman" w:hAnsi="Times New Roman"/>
                <w:color w:val="000000"/>
              </w:rPr>
              <w:t>Detector Array Assembly</w:t>
            </w:r>
          </w:p>
        </w:tc>
      </w:tr>
      <w:tr w:rsidR="00404448" w:rsidRPr="0031063A">
        <w:trPr>
          <w:trHeight w:val="305"/>
        </w:trPr>
        <w:tc>
          <w:tcPr>
            <w:tcW w:w="1166"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sidRPr="0031063A">
              <w:rPr>
                <w:rFonts w:ascii="Times New Roman" w:eastAsia="Times New Roman" w:hAnsi="Times New Roman"/>
                <w:color w:val="000000"/>
              </w:rPr>
              <w:t>DCA</w:t>
            </w:r>
          </w:p>
        </w:tc>
        <w:tc>
          <w:tcPr>
            <w:tcW w:w="5804"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sidRPr="0031063A">
              <w:rPr>
                <w:rFonts w:ascii="Times New Roman" w:eastAsia="Times New Roman" w:hAnsi="Times New Roman"/>
                <w:color w:val="000000"/>
              </w:rPr>
              <w:t>Detector Chip Assembly</w:t>
            </w:r>
          </w:p>
        </w:tc>
      </w:tr>
      <w:tr w:rsidR="00404448" w:rsidRPr="0031063A">
        <w:trPr>
          <w:trHeight w:val="305"/>
        </w:trPr>
        <w:tc>
          <w:tcPr>
            <w:tcW w:w="1166" w:type="dxa"/>
            <w:tcBorders>
              <w:top w:val="nil"/>
              <w:left w:val="nil"/>
              <w:bottom w:val="nil"/>
              <w:right w:val="nil"/>
            </w:tcBorders>
          </w:tcPr>
          <w:p w:rsidR="00404448" w:rsidRDefault="00404448" w:rsidP="00404448">
            <w:pPr>
              <w:autoSpaceDE w:val="0"/>
              <w:autoSpaceDN w:val="0"/>
              <w:adjustRightInd w:val="0"/>
              <w:spacing w:after="0"/>
              <w:rPr>
                <w:rFonts w:ascii="Times New Roman" w:eastAsia="Times New Roman" w:hAnsi="Times New Roman"/>
                <w:color w:val="000000"/>
              </w:rPr>
            </w:pPr>
            <w:r>
              <w:rPr>
                <w:rFonts w:ascii="Times New Roman" w:eastAsia="Times New Roman" w:hAnsi="Times New Roman"/>
                <w:color w:val="000000"/>
              </w:rPr>
              <w:t>DCE</w:t>
            </w:r>
          </w:p>
        </w:tc>
        <w:tc>
          <w:tcPr>
            <w:tcW w:w="5804" w:type="dxa"/>
            <w:tcBorders>
              <w:top w:val="nil"/>
              <w:left w:val="nil"/>
              <w:bottom w:val="nil"/>
              <w:right w:val="nil"/>
            </w:tcBorders>
          </w:tcPr>
          <w:p w:rsidR="00404448" w:rsidRDefault="00404448" w:rsidP="00404448">
            <w:pPr>
              <w:autoSpaceDE w:val="0"/>
              <w:autoSpaceDN w:val="0"/>
              <w:adjustRightInd w:val="0"/>
              <w:spacing w:after="0"/>
              <w:rPr>
                <w:rFonts w:ascii="Times New Roman" w:eastAsia="Times New Roman" w:hAnsi="Times New Roman"/>
                <w:color w:val="000000"/>
              </w:rPr>
            </w:pPr>
            <w:r>
              <w:rPr>
                <w:rFonts w:ascii="Times New Roman" w:eastAsia="Times New Roman" w:hAnsi="Times New Roman"/>
                <w:color w:val="000000"/>
              </w:rPr>
              <w:t>Dust Cover Ejection</w:t>
            </w:r>
          </w:p>
        </w:tc>
      </w:tr>
      <w:tr w:rsidR="00404448" w:rsidRPr="0031063A">
        <w:trPr>
          <w:trHeight w:val="305"/>
        </w:trPr>
        <w:tc>
          <w:tcPr>
            <w:tcW w:w="1166"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Pr>
                <w:rFonts w:ascii="Times New Roman" w:eastAsia="Times New Roman" w:hAnsi="Times New Roman"/>
                <w:color w:val="000000"/>
              </w:rPr>
              <w:t>DIA</w:t>
            </w:r>
          </w:p>
        </w:tc>
        <w:tc>
          <w:tcPr>
            <w:tcW w:w="5804"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Pr>
                <w:rFonts w:ascii="Times New Roman" w:eastAsia="Times New Roman" w:hAnsi="Times New Roman"/>
                <w:color w:val="000000"/>
              </w:rPr>
              <w:t>Differential Image Analysis</w:t>
            </w:r>
          </w:p>
        </w:tc>
      </w:tr>
      <w:tr w:rsidR="00404448" w:rsidRPr="0031063A">
        <w:trPr>
          <w:trHeight w:val="305"/>
        </w:trPr>
        <w:tc>
          <w:tcPr>
            <w:tcW w:w="1166"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sidRPr="0031063A">
              <w:rPr>
                <w:rFonts w:ascii="Times New Roman" w:eastAsia="Times New Roman" w:hAnsi="Times New Roman"/>
                <w:color w:val="000000"/>
              </w:rPr>
              <w:t>DMC</w:t>
            </w:r>
          </w:p>
        </w:tc>
        <w:tc>
          <w:tcPr>
            <w:tcW w:w="5804"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sidRPr="0031063A">
              <w:rPr>
                <w:rFonts w:ascii="Times New Roman" w:eastAsia="Times New Roman" w:hAnsi="Times New Roman"/>
                <w:color w:val="000000"/>
              </w:rPr>
              <w:t>Data Management Center</w:t>
            </w:r>
          </w:p>
        </w:tc>
      </w:tr>
      <w:tr w:rsidR="00FE18DD" w:rsidRPr="0031063A">
        <w:trPr>
          <w:trHeight w:val="305"/>
        </w:trPr>
        <w:tc>
          <w:tcPr>
            <w:tcW w:w="1166" w:type="dxa"/>
            <w:tcBorders>
              <w:top w:val="nil"/>
              <w:left w:val="nil"/>
              <w:bottom w:val="nil"/>
              <w:right w:val="nil"/>
            </w:tcBorders>
          </w:tcPr>
          <w:p w:rsidR="00FE18DD" w:rsidRDefault="00FE18DD" w:rsidP="00404448">
            <w:pPr>
              <w:autoSpaceDE w:val="0"/>
              <w:autoSpaceDN w:val="0"/>
              <w:adjustRightInd w:val="0"/>
              <w:spacing w:after="0"/>
              <w:rPr>
                <w:rFonts w:ascii="Times New Roman" w:eastAsia="Times New Roman" w:hAnsi="Times New Roman"/>
                <w:color w:val="000000"/>
              </w:rPr>
            </w:pPr>
            <w:r>
              <w:rPr>
                <w:rFonts w:ascii="Times New Roman" w:eastAsia="Times New Roman" w:hAnsi="Times New Roman"/>
                <w:color w:val="000000"/>
              </w:rPr>
              <w:t>DN</w:t>
            </w:r>
          </w:p>
        </w:tc>
        <w:tc>
          <w:tcPr>
            <w:tcW w:w="5804" w:type="dxa"/>
            <w:tcBorders>
              <w:top w:val="nil"/>
              <w:left w:val="nil"/>
              <w:bottom w:val="nil"/>
              <w:right w:val="nil"/>
            </w:tcBorders>
          </w:tcPr>
          <w:p w:rsidR="00FE18DD" w:rsidRDefault="00FE18DD" w:rsidP="00404448">
            <w:pPr>
              <w:autoSpaceDE w:val="0"/>
              <w:autoSpaceDN w:val="0"/>
              <w:adjustRightInd w:val="0"/>
              <w:spacing w:after="0"/>
              <w:rPr>
                <w:rFonts w:ascii="Times New Roman" w:eastAsia="Times New Roman" w:hAnsi="Times New Roman"/>
                <w:color w:val="000000"/>
              </w:rPr>
            </w:pPr>
            <w:r>
              <w:rPr>
                <w:rFonts w:ascii="Times New Roman" w:eastAsia="Times New Roman" w:hAnsi="Times New Roman"/>
                <w:color w:val="000000"/>
              </w:rPr>
              <w:t>Data Number (output of ADC)</w:t>
            </w:r>
          </w:p>
        </w:tc>
      </w:tr>
      <w:tr w:rsidR="00404448" w:rsidRPr="0031063A">
        <w:trPr>
          <w:trHeight w:val="305"/>
        </w:trPr>
        <w:tc>
          <w:tcPr>
            <w:tcW w:w="1166"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Pr>
                <w:rFonts w:ascii="Times New Roman" w:eastAsia="Times New Roman" w:hAnsi="Times New Roman"/>
                <w:color w:val="000000"/>
              </w:rPr>
              <w:t>DNL</w:t>
            </w:r>
          </w:p>
        </w:tc>
        <w:tc>
          <w:tcPr>
            <w:tcW w:w="5804"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Pr>
                <w:rFonts w:ascii="Times New Roman" w:eastAsia="Times New Roman" w:hAnsi="Times New Roman"/>
                <w:color w:val="000000"/>
              </w:rPr>
              <w:t>Differential Non-Linearity of A/D converter</w:t>
            </w:r>
          </w:p>
        </w:tc>
      </w:tr>
      <w:tr w:rsidR="00404448" w:rsidRPr="0031063A">
        <w:trPr>
          <w:trHeight w:val="305"/>
        </w:trPr>
        <w:tc>
          <w:tcPr>
            <w:tcW w:w="1166"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sidRPr="0031063A">
              <w:rPr>
                <w:rFonts w:ascii="Times New Roman" w:eastAsia="Times New Roman" w:hAnsi="Times New Roman"/>
                <w:color w:val="000000"/>
              </w:rPr>
              <w:t>DSN</w:t>
            </w:r>
          </w:p>
        </w:tc>
        <w:tc>
          <w:tcPr>
            <w:tcW w:w="5804"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sidRPr="0031063A">
              <w:rPr>
                <w:rFonts w:ascii="Times New Roman" w:eastAsia="Times New Roman" w:hAnsi="Times New Roman"/>
                <w:color w:val="000000"/>
              </w:rPr>
              <w:t>Deep Space Network</w:t>
            </w:r>
          </w:p>
        </w:tc>
      </w:tr>
      <w:tr w:rsidR="00404448" w:rsidRPr="0031063A">
        <w:trPr>
          <w:trHeight w:val="305"/>
        </w:trPr>
        <w:tc>
          <w:tcPr>
            <w:tcW w:w="1166"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Pr>
                <w:rFonts w:ascii="Times New Roman" w:eastAsia="Times New Roman" w:hAnsi="Times New Roman"/>
                <w:color w:val="000000"/>
              </w:rPr>
              <w:t>ECA</w:t>
            </w:r>
          </w:p>
        </w:tc>
        <w:tc>
          <w:tcPr>
            <w:tcW w:w="5804"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Pr>
                <w:rFonts w:ascii="Times New Roman" w:eastAsia="Times New Roman" w:hAnsi="Times New Roman"/>
                <w:color w:val="000000"/>
              </w:rPr>
              <w:t>Electronic Component Assembly</w:t>
            </w:r>
          </w:p>
        </w:tc>
      </w:tr>
      <w:tr w:rsidR="00404448" w:rsidRPr="0031063A">
        <w:trPr>
          <w:trHeight w:val="305"/>
        </w:trPr>
        <w:tc>
          <w:tcPr>
            <w:tcW w:w="1166" w:type="dxa"/>
            <w:tcBorders>
              <w:top w:val="nil"/>
              <w:left w:val="nil"/>
              <w:bottom w:val="nil"/>
              <w:right w:val="nil"/>
            </w:tcBorders>
          </w:tcPr>
          <w:p w:rsidR="00404448" w:rsidRDefault="00404448" w:rsidP="00404448">
            <w:pPr>
              <w:autoSpaceDE w:val="0"/>
              <w:autoSpaceDN w:val="0"/>
              <w:adjustRightInd w:val="0"/>
              <w:spacing w:after="0"/>
              <w:rPr>
                <w:rFonts w:ascii="Times New Roman" w:eastAsia="Times New Roman" w:hAnsi="Times New Roman"/>
                <w:color w:val="000000"/>
              </w:rPr>
            </w:pPr>
            <w:r>
              <w:rPr>
                <w:rFonts w:ascii="Times New Roman" w:eastAsia="Times New Roman" w:hAnsi="Times New Roman"/>
                <w:color w:val="000000"/>
              </w:rPr>
              <w:t>EE</w:t>
            </w:r>
          </w:p>
        </w:tc>
        <w:tc>
          <w:tcPr>
            <w:tcW w:w="5804" w:type="dxa"/>
            <w:tcBorders>
              <w:top w:val="nil"/>
              <w:left w:val="nil"/>
              <w:bottom w:val="nil"/>
              <w:right w:val="nil"/>
            </w:tcBorders>
          </w:tcPr>
          <w:p w:rsidR="00404448" w:rsidRDefault="00404448" w:rsidP="00404448">
            <w:pPr>
              <w:autoSpaceDE w:val="0"/>
              <w:autoSpaceDN w:val="0"/>
              <w:adjustRightInd w:val="0"/>
              <w:spacing w:after="0"/>
              <w:rPr>
                <w:rFonts w:ascii="Times New Roman" w:eastAsia="Times New Roman" w:hAnsi="Times New Roman"/>
                <w:color w:val="000000"/>
              </w:rPr>
            </w:pPr>
            <w:r>
              <w:rPr>
                <w:rFonts w:ascii="Times New Roman" w:eastAsia="Times New Roman" w:hAnsi="Times New Roman"/>
                <w:color w:val="000000"/>
              </w:rPr>
              <w:t>Encircled Energy</w:t>
            </w:r>
          </w:p>
        </w:tc>
      </w:tr>
      <w:tr w:rsidR="00404448" w:rsidRPr="0031063A">
        <w:trPr>
          <w:trHeight w:val="305"/>
        </w:trPr>
        <w:tc>
          <w:tcPr>
            <w:tcW w:w="1166"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Pr>
                <w:rFonts w:ascii="Times New Roman" w:eastAsia="Times New Roman" w:hAnsi="Times New Roman"/>
                <w:color w:val="000000"/>
              </w:rPr>
              <w:t>ETEM</w:t>
            </w:r>
          </w:p>
        </w:tc>
        <w:tc>
          <w:tcPr>
            <w:tcW w:w="5804"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Pr>
                <w:rFonts w:ascii="Times New Roman" w:eastAsia="Times New Roman" w:hAnsi="Times New Roman"/>
                <w:color w:val="000000"/>
              </w:rPr>
              <w:t>End-To-End Model of Kepler</w:t>
            </w:r>
          </w:p>
        </w:tc>
      </w:tr>
      <w:tr w:rsidR="00404448" w:rsidRPr="0031063A">
        <w:trPr>
          <w:trHeight w:val="305"/>
        </w:trPr>
        <w:tc>
          <w:tcPr>
            <w:tcW w:w="1166"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sidRPr="0031063A">
              <w:rPr>
                <w:rFonts w:ascii="Times New Roman" w:eastAsia="Times New Roman" w:hAnsi="Times New Roman"/>
                <w:color w:val="000000"/>
              </w:rPr>
              <w:t>EOL</w:t>
            </w:r>
          </w:p>
        </w:tc>
        <w:tc>
          <w:tcPr>
            <w:tcW w:w="5804"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sidRPr="0031063A">
              <w:rPr>
                <w:rFonts w:ascii="Times New Roman" w:eastAsia="Times New Roman" w:hAnsi="Times New Roman"/>
                <w:color w:val="000000"/>
              </w:rPr>
              <w:t>End of Life</w:t>
            </w:r>
          </w:p>
        </w:tc>
      </w:tr>
      <w:tr w:rsidR="00404448" w:rsidRPr="0031063A">
        <w:trPr>
          <w:trHeight w:val="305"/>
        </w:trPr>
        <w:tc>
          <w:tcPr>
            <w:tcW w:w="1166"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Pr>
                <w:rFonts w:ascii="Times New Roman" w:eastAsia="Times New Roman" w:hAnsi="Times New Roman"/>
                <w:color w:val="000000"/>
              </w:rPr>
              <w:t>FFI</w:t>
            </w:r>
          </w:p>
        </w:tc>
        <w:tc>
          <w:tcPr>
            <w:tcW w:w="5804"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Pr>
                <w:rFonts w:ascii="Times New Roman" w:eastAsia="Times New Roman" w:hAnsi="Times New Roman"/>
                <w:color w:val="000000"/>
              </w:rPr>
              <w:t>Full Field Image</w:t>
            </w:r>
          </w:p>
        </w:tc>
      </w:tr>
      <w:tr w:rsidR="00404448" w:rsidRPr="0031063A">
        <w:trPr>
          <w:trHeight w:val="305"/>
        </w:trPr>
        <w:tc>
          <w:tcPr>
            <w:tcW w:w="1166"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Pr>
                <w:rFonts w:ascii="Times New Roman" w:eastAsia="Times New Roman" w:hAnsi="Times New Roman"/>
                <w:color w:val="000000"/>
              </w:rPr>
              <w:t>FFL</w:t>
            </w:r>
          </w:p>
        </w:tc>
        <w:tc>
          <w:tcPr>
            <w:tcW w:w="5804"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Pr>
                <w:rFonts w:ascii="Times New Roman" w:eastAsia="Times New Roman" w:hAnsi="Times New Roman"/>
                <w:color w:val="000000"/>
              </w:rPr>
              <w:t>Field Flattener Lens</w:t>
            </w:r>
          </w:p>
        </w:tc>
      </w:tr>
      <w:tr w:rsidR="00404448" w:rsidRPr="0031063A">
        <w:trPr>
          <w:trHeight w:val="305"/>
        </w:trPr>
        <w:tc>
          <w:tcPr>
            <w:tcW w:w="1166"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sidRPr="0031063A">
              <w:rPr>
                <w:rFonts w:ascii="Times New Roman" w:eastAsia="Times New Roman" w:hAnsi="Times New Roman"/>
                <w:color w:val="000000"/>
              </w:rPr>
              <w:t>FGS</w:t>
            </w:r>
          </w:p>
        </w:tc>
        <w:tc>
          <w:tcPr>
            <w:tcW w:w="5804"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sidRPr="0031063A">
              <w:rPr>
                <w:rFonts w:ascii="Times New Roman" w:eastAsia="Times New Roman" w:hAnsi="Times New Roman"/>
                <w:color w:val="000000"/>
              </w:rPr>
              <w:t>Fine guidance sensor</w:t>
            </w:r>
          </w:p>
        </w:tc>
      </w:tr>
      <w:tr w:rsidR="00404448" w:rsidRPr="0031063A">
        <w:trPr>
          <w:trHeight w:val="305"/>
        </w:trPr>
        <w:tc>
          <w:tcPr>
            <w:tcW w:w="1166"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sidRPr="0031063A">
              <w:rPr>
                <w:rFonts w:ascii="Times New Roman" w:eastAsia="Times New Roman" w:hAnsi="Times New Roman"/>
                <w:color w:val="000000"/>
              </w:rPr>
              <w:t>FOP</w:t>
            </w:r>
          </w:p>
        </w:tc>
        <w:tc>
          <w:tcPr>
            <w:tcW w:w="5804"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sidRPr="0031063A">
              <w:rPr>
                <w:rFonts w:ascii="Times New Roman" w:eastAsia="Times New Roman" w:hAnsi="Times New Roman"/>
                <w:color w:val="000000"/>
              </w:rPr>
              <w:t>Follow-up Observation Program</w:t>
            </w:r>
          </w:p>
        </w:tc>
      </w:tr>
      <w:tr w:rsidR="00404448" w:rsidRPr="0031063A">
        <w:trPr>
          <w:trHeight w:val="305"/>
        </w:trPr>
        <w:tc>
          <w:tcPr>
            <w:tcW w:w="1166"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sidRPr="0031063A">
              <w:rPr>
                <w:rFonts w:ascii="Times New Roman" w:eastAsia="Times New Roman" w:hAnsi="Times New Roman"/>
                <w:color w:val="000000"/>
              </w:rPr>
              <w:t>FOV</w:t>
            </w:r>
          </w:p>
        </w:tc>
        <w:tc>
          <w:tcPr>
            <w:tcW w:w="5804"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sidRPr="0031063A">
              <w:rPr>
                <w:rFonts w:ascii="Times New Roman" w:eastAsia="Times New Roman" w:hAnsi="Times New Roman"/>
                <w:color w:val="000000"/>
              </w:rPr>
              <w:t>Field of View</w:t>
            </w:r>
          </w:p>
        </w:tc>
      </w:tr>
      <w:tr w:rsidR="00404448" w:rsidRPr="0031063A">
        <w:trPr>
          <w:trHeight w:val="305"/>
        </w:trPr>
        <w:tc>
          <w:tcPr>
            <w:tcW w:w="1166"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sidRPr="0031063A">
              <w:rPr>
                <w:rFonts w:ascii="Times New Roman" w:eastAsia="Times New Roman" w:hAnsi="Times New Roman"/>
                <w:color w:val="000000"/>
              </w:rPr>
              <w:t>FPA</w:t>
            </w:r>
          </w:p>
        </w:tc>
        <w:tc>
          <w:tcPr>
            <w:tcW w:w="5804"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sidRPr="0031063A">
              <w:rPr>
                <w:rFonts w:ascii="Times New Roman" w:eastAsia="Times New Roman" w:hAnsi="Times New Roman"/>
                <w:color w:val="000000"/>
              </w:rPr>
              <w:t>Focal Plane Assembly</w:t>
            </w:r>
          </w:p>
        </w:tc>
      </w:tr>
      <w:tr w:rsidR="00404448" w:rsidRPr="0031063A">
        <w:trPr>
          <w:trHeight w:val="305"/>
        </w:trPr>
        <w:tc>
          <w:tcPr>
            <w:tcW w:w="1166"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sidRPr="0031063A">
              <w:rPr>
                <w:rFonts w:ascii="Times New Roman" w:eastAsia="Times New Roman" w:hAnsi="Times New Roman"/>
                <w:color w:val="000000"/>
              </w:rPr>
              <w:t>FPAA</w:t>
            </w:r>
          </w:p>
        </w:tc>
        <w:tc>
          <w:tcPr>
            <w:tcW w:w="5804"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sidRPr="0031063A">
              <w:rPr>
                <w:rFonts w:ascii="Times New Roman" w:eastAsia="Times New Roman" w:hAnsi="Times New Roman"/>
                <w:color w:val="000000"/>
              </w:rPr>
              <w:t>Focal Plane Array Assembly</w:t>
            </w:r>
          </w:p>
        </w:tc>
      </w:tr>
      <w:tr w:rsidR="00404448" w:rsidRPr="0031063A">
        <w:trPr>
          <w:trHeight w:val="305"/>
        </w:trPr>
        <w:tc>
          <w:tcPr>
            <w:tcW w:w="1166" w:type="dxa"/>
            <w:tcBorders>
              <w:top w:val="nil"/>
              <w:left w:val="nil"/>
              <w:bottom w:val="nil"/>
              <w:right w:val="nil"/>
            </w:tcBorders>
          </w:tcPr>
          <w:p w:rsidR="00404448" w:rsidRDefault="00404448" w:rsidP="00404448">
            <w:pPr>
              <w:autoSpaceDE w:val="0"/>
              <w:autoSpaceDN w:val="0"/>
              <w:adjustRightInd w:val="0"/>
              <w:spacing w:after="0"/>
              <w:rPr>
                <w:rFonts w:ascii="Times New Roman" w:eastAsia="Times New Roman" w:hAnsi="Times New Roman"/>
                <w:color w:val="000000"/>
              </w:rPr>
            </w:pPr>
            <w:r>
              <w:rPr>
                <w:rFonts w:ascii="Times New Roman" w:eastAsia="Times New Roman" w:hAnsi="Times New Roman"/>
                <w:color w:val="000000"/>
              </w:rPr>
              <w:t>FSW</w:t>
            </w:r>
          </w:p>
        </w:tc>
        <w:tc>
          <w:tcPr>
            <w:tcW w:w="5804" w:type="dxa"/>
            <w:tcBorders>
              <w:top w:val="nil"/>
              <w:left w:val="nil"/>
              <w:bottom w:val="nil"/>
              <w:right w:val="nil"/>
            </w:tcBorders>
          </w:tcPr>
          <w:p w:rsidR="00404448" w:rsidRDefault="00404448" w:rsidP="00404448">
            <w:pPr>
              <w:autoSpaceDE w:val="0"/>
              <w:autoSpaceDN w:val="0"/>
              <w:adjustRightInd w:val="0"/>
              <w:spacing w:after="0"/>
              <w:rPr>
                <w:rFonts w:ascii="Times New Roman" w:eastAsia="Times New Roman" w:hAnsi="Times New Roman"/>
                <w:color w:val="000000"/>
              </w:rPr>
            </w:pPr>
            <w:r>
              <w:rPr>
                <w:rFonts w:ascii="Times New Roman" w:eastAsia="Times New Roman" w:hAnsi="Times New Roman"/>
                <w:color w:val="000000"/>
              </w:rPr>
              <w:t>Flight Software</w:t>
            </w:r>
          </w:p>
        </w:tc>
      </w:tr>
      <w:tr w:rsidR="00404448" w:rsidRPr="0031063A">
        <w:trPr>
          <w:trHeight w:val="305"/>
        </w:trPr>
        <w:tc>
          <w:tcPr>
            <w:tcW w:w="1166"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Pr>
                <w:rFonts w:ascii="Times New Roman" w:eastAsia="Times New Roman" w:hAnsi="Times New Roman"/>
                <w:color w:val="000000"/>
              </w:rPr>
              <w:t>GCR</w:t>
            </w:r>
          </w:p>
        </w:tc>
        <w:tc>
          <w:tcPr>
            <w:tcW w:w="5804"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Pr>
                <w:rFonts w:ascii="Times New Roman" w:eastAsia="Times New Roman" w:hAnsi="Times New Roman"/>
                <w:color w:val="000000"/>
              </w:rPr>
              <w:t>Galactic Cosmic Ray</w:t>
            </w:r>
          </w:p>
        </w:tc>
      </w:tr>
      <w:tr w:rsidR="00404448" w:rsidRPr="0031063A">
        <w:trPr>
          <w:trHeight w:val="305"/>
        </w:trPr>
        <w:tc>
          <w:tcPr>
            <w:tcW w:w="1166"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Pr>
                <w:rFonts w:ascii="Times New Roman" w:eastAsia="Times New Roman" w:hAnsi="Times New Roman"/>
                <w:color w:val="000000"/>
              </w:rPr>
              <w:t>GO</w:t>
            </w:r>
          </w:p>
        </w:tc>
        <w:tc>
          <w:tcPr>
            <w:tcW w:w="5804"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Pr>
                <w:rFonts w:ascii="Times New Roman" w:eastAsia="Times New Roman" w:hAnsi="Times New Roman"/>
                <w:color w:val="000000"/>
              </w:rPr>
              <w:t>Guest Observer</w:t>
            </w:r>
          </w:p>
        </w:tc>
      </w:tr>
      <w:tr w:rsidR="00404448" w:rsidRPr="0031063A">
        <w:trPr>
          <w:trHeight w:val="305"/>
        </w:trPr>
        <w:tc>
          <w:tcPr>
            <w:tcW w:w="1166"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sidRPr="0031063A">
              <w:rPr>
                <w:rFonts w:ascii="Times New Roman" w:eastAsia="Times New Roman" w:hAnsi="Times New Roman"/>
                <w:color w:val="000000"/>
              </w:rPr>
              <w:t>GUI</w:t>
            </w:r>
          </w:p>
        </w:tc>
        <w:tc>
          <w:tcPr>
            <w:tcW w:w="5804"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sidRPr="0031063A">
              <w:rPr>
                <w:rFonts w:ascii="Times New Roman" w:eastAsia="Times New Roman" w:hAnsi="Times New Roman"/>
                <w:color w:val="000000"/>
              </w:rPr>
              <w:t>Graphical User Interface</w:t>
            </w:r>
          </w:p>
        </w:tc>
      </w:tr>
      <w:tr w:rsidR="00404448" w:rsidRPr="0031063A">
        <w:trPr>
          <w:trHeight w:val="305"/>
        </w:trPr>
        <w:tc>
          <w:tcPr>
            <w:tcW w:w="1166"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sidRPr="0031063A">
              <w:rPr>
                <w:rFonts w:ascii="Times New Roman" w:eastAsia="Times New Roman" w:hAnsi="Times New Roman"/>
                <w:color w:val="000000"/>
              </w:rPr>
              <w:t xml:space="preserve">HGA </w:t>
            </w:r>
          </w:p>
        </w:tc>
        <w:tc>
          <w:tcPr>
            <w:tcW w:w="5804" w:type="dxa"/>
            <w:tcBorders>
              <w:top w:val="nil"/>
              <w:left w:val="nil"/>
              <w:bottom w:val="nil"/>
              <w:right w:val="nil"/>
            </w:tcBorders>
          </w:tcPr>
          <w:p w:rsidR="00404448" w:rsidRPr="0031063A" w:rsidRDefault="00EB37F3" w:rsidP="00404448">
            <w:pPr>
              <w:autoSpaceDE w:val="0"/>
              <w:autoSpaceDN w:val="0"/>
              <w:adjustRightInd w:val="0"/>
              <w:spacing w:after="0"/>
              <w:rPr>
                <w:rFonts w:ascii="Times New Roman" w:eastAsia="Times New Roman" w:hAnsi="Times New Roman"/>
                <w:color w:val="000000"/>
              </w:rPr>
            </w:pPr>
            <w:r w:rsidRPr="0031063A">
              <w:rPr>
                <w:rFonts w:ascii="Times New Roman" w:eastAsia="Times New Roman" w:hAnsi="Times New Roman"/>
                <w:color w:val="000000"/>
              </w:rPr>
              <w:t>High</w:t>
            </w:r>
            <w:r w:rsidR="00404448" w:rsidRPr="0031063A">
              <w:rPr>
                <w:rFonts w:ascii="Times New Roman" w:eastAsia="Times New Roman" w:hAnsi="Times New Roman"/>
                <w:color w:val="000000"/>
              </w:rPr>
              <w:t>-gain antenna</w:t>
            </w:r>
          </w:p>
        </w:tc>
      </w:tr>
      <w:tr w:rsidR="00404448" w:rsidRPr="0031063A">
        <w:trPr>
          <w:trHeight w:val="305"/>
        </w:trPr>
        <w:tc>
          <w:tcPr>
            <w:tcW w:w="1166"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sidRPr="0031063A">
              <w:rPr>
                <w:rFonts w:ascii="Times New Roman" w:eastAsia="Times New Roman" w:hAnsi="Times New Roman"/>
                <w:color w:val="000000"/>
              </w:rPr>
              <w:t>HST</w:t>
            </w:r>
          </w:p>
        </w:tc>
        <w:tc>
          <w:tcPr>
            <w:tcW w:w="5804"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sidRPr="0031063A">
              <w:rPr>
                <w:rFonts w:ascii="Times New Roman" w:eastAsia="Times New Roman" w:hAnsi="Times New Roman"/>
                <w:color w:val="000000"/>
              </w:rPr>
              <w:t>Hubble Space Telescope</w:t>
            </w:r>
          </w:p>
        </w:tc>
      </w:tr>
      <w:tr w:rsidR="00404448" w:rsidRPr="0031063A">
        <w:trPr>
          <w:trHeight w:val="305"/>
        </w:trPr>
        <w:tc>
          <w:tcPr>
            <w:tcW w:w="1166"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sidRPr="0031063A">
              <w:rPr>
                <w:rFonts w:ascii="Times New Roman" w:eastAsia="Times New Roman" w:hAnsi="Times New Roman"/>
                <w:color w:val="000000"/>
              </w:rPr>
              <w:t>HZ</w:t>
            </w:r>
          </w:p>
        </w:tc>
        <w:tc>
          <w:tcPr>
            <w:tcW w:w="5804"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sidRPr="0031063A">
              <w:rPr>
                <w:rFonts w:ascii="Times New Roman" w:eastAsia="Times New Roman" w:hAnsi="Times New Roman"/>
                <w:color w:val="000000"/>
              </w:rPr>
              <w:t>Habitable Zone</w:t>
            </w:r>
          </w:p>
        </w:tc>
      </w:tr>
      <w:tr w:rsidR="00404448" w:rsidRPr="0031063A">
        <w:trPr>
          <w:trHeight w:val="305"/>
        </w:trPr>
        <w:tc>
          <w:tcPr>
            <w:tcW w:w="1166"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sidRPr="0031063A">
              <w:rPr>
                <w:rFonts w:ascii="Times New Roman" w:eastAsia="Times New Roman" w:hAnsi="Times New Roman"/>
                <w:color w:val="000000"/>
              </w:rPr>
              <w:t>I&amp;T</w:t>
            </w:r>
          </w:p>
        </w:tc>
        <w:tc>
          <w:tcPr>
            <w:tcW w:w="5804"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sidRPr="0031063A">
              <w:rPr>
                <w:rFonts w:ascii="Times New Roman" w:eastAsia="Times New Roman" w:hAnsi="Times New Roman"/>
                <w:color w:val="000000"/>
              </w:rPr>
              <w:t>Integration and Test</w:t>
            </w:r>
          </w:p>
        </w:tc>
      </w:tr>
      <w:tr w:rsidR="00404448" w:rsidRPr="0031063A">
        <w:trPr>
          <w:trHeight w:val="305"/>
        </w:trPr>
        <w:tc>
          <w:tcPr>
            <w:tcW w:w="1166" w:type="dxa"/>
            <w:tcBorders>
              <w:top w:val="nil"/>
              <w:left w:val="nil"/>
              <w:bottom w:val="nil"/>
              <w:right w:val="nil"/>
            </w:tcBorders>
          </w:tcPr>
          <w:p w:rsidR="00404448" w:rsidRDefault="00404448" w:rsidP="00404448">
            <w:pPr>
              <w:autoSpaceDE w:val="0"/>
              <w:autoSpaceDN w:val="0"/>
              <w:adjustRightInd w:val="0"/>
              <w:spacing w:after="0"/>
              <w:rPr>
                <w:rFonts w:ascii="Times New Roman" w:eastAsia="Times New Roman" w:hAnsi="Times New Roman"/>
                <w:color w:val="000000"/>
              </w:rPr>
            </w:pPr>
            <w:r>
              <w:rPr>
                <w:rFonts w:ascii="Times New Roman" w:eastAsia="Times New Roman" w:hAnsi="Times New Roman"/>
                <w:color w:val="000000"/>
              </w:rPr>
              <w:t>INL</w:t>
            </w:r>
          </w:p>
        </w:tc>
        <w:tc>
          <w:tcPr>
            <w:tcW w:w="5804" w:type="dxa"/>
            <w:tcBorders>
              <w:top w:val="nil"/>
              <w:left w:val="nil"/>
              <w:bottom w:val="nil"/>
              <w:right w:val="nil"/>
            </w:tcBorders>
          </w:tcPr>
          <w:p w:rsidR="00404448" w:rsidRDefault="00404448" w:rsidP="00404448">
            <w:pPr>
              <w:autoSpaceDE w:val="0"/>
              <w:autoSpaceDN w:val="0"/>
              <w:adjustRightInd w:val="0"/>
              <w:spacing w:after="0"/>
              <w:rPr>
                <w:rFonts w:ascii="Times New Roman" w:eastAsia="Times New Roman" w:hAnsi="Times New Roman"/>
                <w:color w:val="000000"/>
              </w:rPr>
            </w:pPr>
            <w:r>
              <w:rPr>
                <w:rFonts w:ascii="Times New Roman" w:eastAsia="Times New Roman" w:hAnsi="Times New Roman"/>
                <w:color w:val="000000"/>
              </w:rPr>
              <w:t>Integral Non-Linearity of A/D converter</w:t>
            </w:r>
          </w:p>
        </w:tc>
      </w:tr>
      <w:tr w:rsidR="00404448" w:rsidRPr="0031063A">
        <w:trPr>
          <w:trHeight w:val="305"/>
        </w:trPr>
        <w:tc>
          <w:tcPr>
            <w:tcW w:w="1166" w:type="dxa"/>
            <w:tcBorders>
              <w:top w:val="nil"/>
              <w:left w:val="nil"/>
              <w:bottom w:val="nil"/>
              <w:right w:val="nil"/>
            </w:tcBorders>
          </w:tcPr>
          <w:p w:rsidR="00404448" w:rsidRDefault="00404448" w:rsidP="00404448">
            <w:pPr>
              <w:autoSpaceDE w:val="0"/>
              <w:autoSpaceDN w:val="0"/>
              <w:adjustRightInd w:val="0"/>
              <w:spacing w:after="0"/>
              <w:rPr>
                <w:rFonts w:ascii="Times New Roman" w:eastAsia="Times New Roman" w:hAnsi="Times New Roman"/>
                <w:color w:val="000000"/>
              </w:rPr>
            </w:pPr>
            <w:r>
              <w:rPr>
                <w:rFonts w:ascii="Times New Roman" w:eastAsia="Times New Roman" w:hAnsi="Times New Roman"/>
                <w:color w:val="000000"/>
              </w:rPr>
              <w:t>IRNU</w:t>
            </w:r>
          </w:p>
        </w:tc>
        <w:tc>
          <w:tcPr>
            <w:tcW w:w="5804" w:type="dxa"/>
            <w:tcBorders>
              <w:top w:val="nil"/>
              <w:left w:val="nil"/>
              <w:bottom w:val="nil"/>
              <w:right w:val="nil"/>
            </w:tcBorders>
          </w:tcPr>
          <w:p w:rsidR="00404448" w:rsidRDefault="00404448" w:rsidP="00404448">
            <w:pPr>
              <w:autoSpaceDE w:val="0"/>
              <w:autoSpaceDN w:val="0"/>
              <w:adjustRightInd w:val="0"/>
              <w:spacing w:after="0"/>
              <w:rPr>
                <w:rFonts w:ascii="Times New Roman" w:eastAsia="Times New Roman" w:hAnsi="Times New Roman"/>
                <w:color w:val="000000"/>
              </w:rPr>
            </w:pPr>
            <w:r>
              <w:rPr>
                <w:rFonts w:ascii="Times New Roman" w:eastAsia="Times New Roman" w:hAnsi="Times New Roman"/>
                <w:color w:val="000000"/>
              </w:rPr>
              <w:t>Intra-pixel Response Nonuniformity</w:t>
            </w:r>
          </w:p>
        </w:tc>
      </w:tr>
      <w:tr w:rsidR="00404448" w:rsidRPr="0031063A">
        <w:trPr>
          <w:trHeight w:val="305"/>
        </w:trPr>
        <w:tc>
          <w:tcPr>
            <w:tcW w:w="1166" w:type="dxa"/>
            <w:tcBorders>
              <w:top w:val="nil"/>
              <w:left w:val="nil"/>
              <w:bottom w:val="nil"/>
              <w:right w:val="nil"/>
            </w:tcBorders>
          </w:tcPr>
          <w:p w:rsidR="00404448" w:rsidRDefault="00404448" w:rsidP="00404448">
            <w:pPr>
              <w:autoSpaceDE w:val="0"/>
              <w:autoSpaceDN w:val="0"/>
              <w:adjustRightInd w:val="0"/>
              <w:spacing w:after="0"/>
              <w:rPr>
                <w:rFonts w:ascii="Times New Roman" w:eastAsia="Times New Roman" w:hAnsi="Times New Roman"/>
                <w:color w:val="000000"/>
              </w:rPr>
            </w:pPr>
            <w:r>
              <w:rPr>
                <w:rFonts w:ascii="Times New Roman" w:eastAsia="Times New Roman" w:hAnsi="Times New Roman"/>
                <w:color w:val="000000"/>
              </w:rPr>
              <w:t>KACR</w:t>
            </w:r>
          </w:p>
        </w:tc>
        <w:tc>
          <w:tcPr>
            <w:tcW w:w="5804" w:type="dxa"/>
            <w:tcBorders>
              <w:top w:val="nil"/>
              <w:left w:val="nil"/>
              <w:bottom w:val="nil"/>
              <w:right w:val="nil"/>
            </w:tcBorders>
          </w:tcPr>
          <w:p w:rsidR="00404448" w:rsidRDefault="00404448" w:rsidP="00404448">
            <w:pPr>
              <w:autoSpaceDE w:val="0"/>
              <w:autoSpaceDN w:val="0"/>
              <w:adjustRightInd w:val="0"/>
              <w:spacing w:after="0"/>
              <w:rPr>
                <w:rFonts w:ascii="Times New Roman" w:eastAsia="Times New Roman" w:hAnsi="Times New Roman"/>
                <w:color w:val="000000"/>
              </w:rPr>
            </w:pPr>
            <w:r>
              <w:rPr>
                <w:rFonts w:ascii="Times New Roman" w:eastAsia="Times New Roman" w:hAnsi="Times New Roman"/>
                <w:color w:val="000000"/>
              </w:rPr>
              <w:t>Kepler Activity Change Request (for additional data during Commissioning)</w:t>
            </w:r>
          </w:p>
        </w:tc>
      </w:tr>
      <w:tr w:rsidR="00404448" w:rsidRPr="0031063A">
        <w:trPr>
          <w:trHeight w:val="305"/>
        </w:trPr>
        <w:tc>
          <w:tcPr>
            <w:tcW w:w="1166"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Pr>
                <w:rFonts w:ascii="Times New Roman" w:eastAsia="Times New Roman" w:hAnsi="Times New Roman"/>
                <w:color w:val="000000"/>
              </w:rPr>
              <w:t>KCB</w:t>
            </w:r>
          </w:p>
        </w:tc>
        <w:tc>
          <w:tcPr>
            <w:tcW w:w="5804"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Pr>
                <w:rFonts w:ascii="Times New Roman" w:eastAsia="Times New Roman" w:hAnsi="Times New Roman"/>
                <w:color w:val="000000"/>
              </w:rPr>
              <w:t>Kepler Control Box</w:t>
            </w:r>
          </w:p>
        </w:tc>
      </w:tr>
      <w:tr w:rsidR="00404448" w:rsidRPr="0031063A">
        <w:trPr>
          <w:trHeight w:val="305"/>
        </w:trPr>
        <w:tc>
          <w:tcPr>
            <w:tcW w:w="1166" w:type="dxa"/>
            <w:tcBorders>
              <w:top w:val="nil"/>
              <w:left w:val="nil"/>
              <w:bottom w:val="nil"/>
              <w:right w:val="nil"/>
            </w:tcBorders>
          </w:tcPr>
          <w:p w:rsidR="00404448" w:rsidRDefault="00F9242A" w:rsidP="00404448">
            <w:pPr>
              <w:autoSpaceDE w:val="0"/>
              <w:autoSpaceDN w:val="0"/>
              <w:adjustRightInd w:val="0"/>
              <w:spacing w:after="0"/>
              <w:rPr>
                <w:rFonts w:ascii="Times New Roman" w:eastAsia="Times New Roman" w:hAnsi="Times New Roman"/>
                <w:color w:val="000000"/>
              </w:rPr>
            </w:pPr>
            <w:r>
              <w:rPr>
                <w:rFonts w:ascii="Times New Roman" w:eastAsia="Times New Roman" w:hAnsi="Times New Roman"/>
                <w:color w:val="000000"/>
              </w:rPr>
              <w:t>KDPH</w:t>
            </w:r>
          </w:p>
        </w:tc>
        <w:tc>
          <w:tcPr>
            <w:tcW w:w="5804" w:type="dxa"/>
            <w:tcBorders>
              <w:top w:val="nil"/>
              <w:left w:val="nil"/>
              <w:bottom w:val="nil"/>
              <w:right w:val="nil"/>
            </w:tcBorders>
          </w:tcPr>
          <w:p w:rsidR="00404448" w:rsidRDefault="00404448" w:rsidP="00404448">
            <w:pPr>
              <w:autoSpaceDE w:val="0"/>
              <w:autoSpaceDN w:val="0"/>
              <w:adjustRightInd w:val="0"/>
              <w:spacing w:after="0"/>
              <w:rPr>
                <w:rFonts w:ascii="Times New Roman" w:eastAsia="Times New Roman" w:hAnsi="Times New Roman"/>
                <w:color w:val="000000"/>
              </w:rPr>
            </w:pPr>
            <w:r>
              <w:rPr>
                <w:rFonts w:ascii="Times New Roman" w:eastAsia="Times New Roman" w:hAnsi="Times New Roman"/>
                <w:color w:val="000000"/>
              </w:rPr>
              <w:t>Kepler Data Analysis Handbook</w:t>
            </w:r>
          </w:p>
        </w:tc>
      </w:tr>
      <w:tr w:rsidR="00404448" w:rsidRPr="0031063A">
        <w:trPr>
          <w:trHeight w:val="305"/>
        </w:trPr>
        <w:tc>
          <w:tcPr>
            <w:tcW w:w="1166" w:type="dxa"/>
            <w:tcBorders>
              <w:top w:val="nil"/>
              <w:left w:val="nil"/>
              <w:bottom w:val="nil"/>
              <w:right w:val="nil"/>
            </w:tcBorders>
          </w:tcPr>
          <w:p w:rsidR="00404448" w:rsidRDefault="00404448" w:rsidP="00404448">
            <w:pPr>
              <w:autoSpaceDE w:val="0"/>
              <w:autoSpaceDN w:val="0"/>
              <w:adjustRightInd w:val="0"/>
              <w:spacing w:after="0"/>
              <w:rPr>
                <w:rFonts w:ascii="Times New Roman" w:eastAsia="Times New Roman" w:hAnsi="Times New Roman"/>
                <w:color w:val="000000"/>
              </w:rPr>
            </w:pPr>
            <w:r>
              <w:rPr>
                <w:rFonts w:ascii="Times New Roman" w:eastAsia="Times New Roman" w:hAnsi="Times New Roman"/>
                <w:color w:val="000000"/>
              </w:rPr>
              <w:t>KTD</w:t>
            </w:r>
          </w:p>
        </w:tc>
        <w:tc>
          <w:tcPr>
            <w:tcW w:w="5804" w:type="dxa"/>
            <w:tcBorders>
              <w:top w:val="nil"/>
              <w:left w:val="nil"/>
              <w:bottom w:val="nil"/>
              <w:right w:val="nil"/>
            </w:tcBorders>
          </w:tcPr>
          <w:p w:rsidR="00404448" w:rsidRDefault="00404448" w:rsidP="00404448">
            <w:pPr>
              <w:autoSpaceDE w:val="0"/>
              <w:autoSpaceDN w:val="0"/>
              <w:adjustRightInd w:val="0"/>
              <w:spacing w:after="0"/>
              <w:rPr>
                <w:rFonts w:ascii="Times New Roman" w:eastAsia="Times New Roman" w:hAnsi="Times New Roman"/>
                <w:color w:val="000000"/>
              </w:rPr>
            </w:pPr>
            <w:r>
              <w:rPr>
                <w:rFonts w:ascii="Times New Roman" w:eastAsia="Times New Roman" w:hAnsi="Times New Roman"/>
                <w:color w:val="000000"/>
              </w:rPr>
              <w:t>Kepler Tech Demo simulated star field light source</w:t>
            </w:r>
          </w:p>
        </w:tc>
      </w:tr>
      <w:tr w:rsidR="00404448" w:rsidRPr="0031063A">
        <w:trPr>
          <w:trHeight w:val="305"/>
        </w:trPr>
        <w:tc>
          <w:tcPr>
            <w:tcW w:w="1166"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Pr>
                <w:rFonts w:ascii="Times New Roman" w:eastAsia="Times New Roman" w:hAnsi="Times New Roman"/>
                <w:color w:val="000000"/>
              </w:rPr>
              <w:t>LC</w:t>
            </w:r>
          </w:p>
        </w:tc>
        <w:tc>
          <w:tcPr>
            <w:tcW w:w="5804"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Pr>
                <w:rFonts w:ascii="Times New Roman" w:eastAsia="Times New Roman" w:hAnsi="Times New Roman"/>
                <w:color w:val="000000"/>
              </w:rPr>
              <w:t>Long Cadence</w:t>
            </w:r>
          </w:p>
        </w:tc>
      </w:tr>
      <w:tr w:rsidR="00404448" w:rsidRPr="0031063A">
        <w:trPr>
          <w:trHeight w:val="305"/>
        </w:trPr>
        <w:tc>
          <w:tcPr>
            <w:tcW w:w="1166"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Pr>
                <w:rFonts w:ascii="Times New Roman" w:eastAsia="Times New Roman" w:hAnsi="Times New Roman"/>
                <w:color w:val="000000"/>
              </w:rPr>
              <w:t>LCC</w:t>
            </w:r>
          </w:p>
        </w:tc>
        <w:tc>
          <w:tcPr>
            <w:tcW w:w="5804"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Pr>
                <w:rFonts w:ascii="Times New Roman" w:eastAsia="Times New Roman" w:hAnsi="Times New Roman"/>
                <w:color w:val="000000"/>
              </w:rPr>
              <w:t>Long Cadence Collateral</w:t>
            </w:r>
          </w:p>
        </w:tc>
      </w:tr>
      <w:tr w:rsidR="00404448" w:rsidRPr="0031063A">
        <w:trPr>
          <w:trHeight w:val="305"/>
        </w:trPr>
        <w:tc>
          <w:tcPr>
            <w:tcW w:w="1166"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sidRPr="0031063A">
              <w:rPr>
                <w:rFonts w:ascii="Times New Roman" w:eastAsia="Times New Roman" w:hAnsi="Times New Roman"/>
                <w:color w:val="000000"/>
              </w:rPr>
              <w:t>LDE</w:t>
            </w:r>
          </w:p>
        </w:tc>
        <w:tc>
          <w:tcPr>
            <w:tcW w:w="5804"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sidRPr="0031063A">
              <w:rPr>
                <w:rFonts w:ascii="Times New Roman" w:eastAsia="Times New Roman" w:hAnsi="Times New Roman"/>
                <w:color w:val="000000"/>
              </w:rPr>
              <w:t>Local Detector Electronics</w:t>
            </w:r>
          </w:p>
        </w:tc>
      </w:tr>
      <w:tr w:rsidR="00404448" w:rsidRPr="0031063A">
        <w:trPr>
          <w:trHeight w:val="305"/>
        </w:trPr>
        <w:tc>
          <w:tcPr>
            <w:tcW w:w="1166"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sidRPr="0031063A">
              <w:rPr>
                <w:rFonts w:ascii="Times New Roman" w:eastAsia="Times New Roman" w:hAnsi="Times New Roman"/>
                <w:color w:val="000000"/>
              </w:rPr>
              <w:t xml:space="preserve">LGA </w:t>
            </w:r>
          </w:p>
        </w:tc>
        <w:tc>
          <w:tcPr>
            <w:tcW w:w="5804" w:type="dxa"/>
            <w:tcBorders>
              <w:top w:val="nil"/>
              <w:left w:val="nil"/>
              <w:bottom w:val="nil"/>
              <w:right w:val="nil"/>
            </w:tcBorders>
          </w:tcPr>
          <w:p w:rsidR="00404448" w:rsidRPr="0031063A" w:rsidRDefault="00EB37F3" w:rsidP="00404448">
            <w:pPr>
              <w:autoSpaceDE w:val="0"/>
              <w:autoSpaceDN w:val="0"/>
              <w:adjustRightInd w:val="0"/>
              <w:spacing w:after="0"/>
              <w:rPr>
                <w:rFonts w:ascii="Times New Roman" w:eastAsia="Times New Roman" w:hAnsi="Times New Roman"/>
                <w:color w:val="000000"/>
              </w:rPr>
            </w:pPr>
            <w:r w:rsidRPr="0031063A">
              <w:rPr>
                <w:rFonts w:ascii="Times New Roman" w:eastAsia="Times New Roman" w:hAnsi="Times New Roman"/>
                <w:color w:val="000000"/>
              </w:rPr>
              <w:t>Low</w:t>
            </w:r>
            <w:r w:rsidR="00404448" w:rsidRPr="0031063A">
              <w:rPr>
                <w:rFonts w:ascii="Times New Roman" w:eastAsia="Times New Roman" w:hAnsi="Times New Roman"/>
                <w:color w:val="000000"/>
              </w:rPr>
              <w:t>-gain antenna</w:t>
            </w:r>
          </w:p>
        </w:tc>
      </w:tr>
      <w:tr w:rsidR="00404448" w:rsidRPr="0031063A">
        <w:trPr>
          <w:trHeight w:val="305"/>
        </w:trPr>
        <w:tc>
          <w:tcPr>
            <w:tcW w:w="1166"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sidRPr="0031063A">
              <w:rPr>
                <w:rFonts w:ascii="Times New Roman" w:eastAsia="Times New Roman" w:hAnsi="Times New Roman"/>
                <w:color w:val="000000"/>
              </w:rPr>
              <w:t>LOS</w:t>
            </w:r>
          </w:p>
        </w:tc>
        <w:tc>
          <w:tcPr>
            <w:tcW w:w="5804"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sidRPr="0031063A">
              <w:rPr>
                <w:rFonts w:ascii="Times New Roman" w:eastAsia="Times New Roman" w:hAnsi="Times New Roman"/>
                <w:color w:val="000000"/>
              </w:rPr>
              <w:t>Line of Sight</w:t>
            </w:r>
          </w:p>
        </w:tc>
      </w:tr>
      <w:tr w:rsidR="00404448" w:rsidRPr="0031063A">
        <w:trPr>
          <w:trHeight w:val="305"/>
        </w:trPr>
        <w:tc>
          <w:tcPr>
            <w:tcW w:w="1166"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Pr>
                <w:rFonts w:ascii="Times New Roman" w:eastAsia="Times New Roman" w:hAnsi="Times New Roman"/>
                <w:color w:val="000000"/>
              </w:rPr>
              <w:t>LPS</w:t>
            </w:r>
          </w:p>
        </w:tc>
        <w:tc>
          <w:tcPr>
            <w:tcW w:w="5804"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Pr>
                <w:rFonts w:ascii="Times New Roman" w:eastAsia="Times New Roman" w:hAnsi="Times New Roman"/>
                <w:color w:val="000000"/>
              </w:rPr>
              <w:t>LDE Power Supply</w:t>
            </w:r>
          </w:p>
        </w:tc>
      </w:tr>
      <w:tr w:rsidR="00404448" w:rsidRPr="0031063A">
        <w:trPr>
          <w:trHeight w:val="305"/>
        </w:trPr>
        <w:tc>
          <w:tcPr>
            <w:tcW w:w="1166"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sidRPr="0031063A">
              <w:rPr>
                <w:rFonts w:ascii="Times New Roman" w:eastAsia="Times New Roman" w:hAnsi="Times New Roman"/>
                <w:color w:val="000000"/>
              </w:rPr>
              <w:t>LUT</w:t>
            </w:r>
          </w:p>
        </w:tc>
        <w:tc>
          <w:tcPr>
            <w:tcW w:w="5804"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sidRPr="0031063A">
              <w:rPr>
                <w:rFonts w:ascii="Times New Roman" w:eastAsia="Times New Roman" w:hAnsi="Times New Roman"/>
                <w:color w:val="000000"/>
              </w:rPr>
              <w:t>look-up table</w:t>
            </w:r>
          </w:p>
        </w:tc>
      </w:tr>
      <w:tr w:rsidR="00404448" w:rsidRPr="0031063A">
        <w:trPr>
          <w:trHeight w:val="305"/>
        </w:trPr>
        <w:tc>
          <w:tcPr>
            <w:tcW w:w="1166"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sidRPr="0031063A">
              <w:rPr>
                <w:rFonts w:ascii="Times New Roman" w:eastAsia="Times New Roman" w:hAnsi="Times New Roman"/>
                <w:color w:val="000000"/>
              </w:rPr>
              <w:t>LV</w:t>
            </w:r>
          </w:p>
        </w:tc>
        <w:tc>
          <w:tcPr>
            <w:tcW w:w="5804"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sidRPr="0031063A">
              <w:rPr>
                <w:rFonts w:ascii="Times New Roman" w:eastAsia="Times New Roman" w:hAnsi="Times New Roman"/>
                <w:color w:val="000000"/>
              </w:rPr>
              <w:t>Launch Vehicle</w:t>
            </w:r>
          </w:p>
        </w:tc>
      </w:tr>
      <w:tr w:rsidR="00092759" w:rsidRPr="0031063A">
        <w:trPr>
          <w:trHeight w:val="305"/>
        </w:trPr>
        <w:tc>
          <w:tcPr>
            <w:tcW w:w="1166" w:type="dxa"/>
            <w:tcBorders>
              <w:top w:val="nil"/>
              <w:left w:val="nil"/>
              <w:bottom w:val="nil"/>
              <w:right w:val="nil"/>
            </w:tcBorders>
          </w:tcPr>
          <w:p w:rsidR="00092759" w:rsidRPr="0031063A" w:rsidRDefault="00092759" w:rsidP="00404448">
            <w:pPr>
              <w:autoSpaceDE w:val="0"/>
              <w:autoSpaceDN w:val="0"/>
              <w:adjustRightInd w:val="0"/>
              <w:spacing w:after="0"/>
              <w:rPr>
                <w:rFonts w:ascii="Times New Roman" w:eastAsia="Times New Roman" w:hAnsi="Times New Roman"/>
                <w:color w:val="000000"/>
              </w:rPr>
            </w:pPr>
            <w:r>
              <w:rPr>
                <w:rFonts w:ascii="Times New Roman" w:eastAsia="Times New Roman" w:hAnsi="Times New Roman"/>
                <w:color w:val="000000"/>
              </w:rPr>
              <w:t>MAST</w:t>
            </w:r>
          </w:p>
        </w:tc>
        <w:tc>
          <w:tcPr>
            <w:tcW w:w="5804" w:type="dxa"/>
            <w:tcBorders>
              <w:top w:val="nil"/>
              <w:left w:val="nil"/>
              <w:bottom w:val="nil"/>
              <w:right w:val="nil"/>
            </w:tcBorders>
          </w:tcPr>
          <w:p w:rsidR="00092759" w:rsidRPr="0031063A" w:rsidRDefault="00092759" w:rsidP="00404448">
            <w:pPr>
              <w:autoSpaceDE w:val="0"/>
              <w:autoSpaceDN w:val="0"/>
              <w:adjustRightInd w:val="0"/>
              <w:spacing w:after="0"/>
              <w:rPr>
                <w:rFonts w:ascii="Times New Roman" w:eastAsia="Times New Roman" w:hAnsi="Times New Roman"/>
                <w:color w:val="000000"/>
              </w:rPr>
            </w:pPr>
            <w:r>
              <w:rPr>
                <w:rFonts w:ascii="Times New Roman" w:eastAsia="Times New Roman" w:hAnsi="Times New Roman"/>
                <w:color w:val="000000"/>
              </w:rPr>
              <w:t>Mikulski Archive for Space Telescopes</w:t>
            </w:r>
          </w:p>
        </w:tc>
      </w:tr>
      <w:tr w:rsidR="00404448" w:rsidRPr="0031063A">
        <w:trPr>
          <w:trHeight w:val="305"/>
        </w:trPr>
        <w:tc>
          <w:tcPr>
            <w:tcW w:w="1166"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sidRPr="0031063A">
              <w:rPr>
                <w:rFonts w:ascii="Times New Roman" w:eastAsia="Times New Roman" w:hAnsi="Times New Roman"/>
                <w:color w:val="000000"/>
              </w:rPr>
              <w:t xml:space="preserve">MOC </w:t>
            </w:r>
          </w:p>
        </w:tc>
        <w:tc>
          <w:tcPr>
            <w:tcW w:w="5804"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sidRPr="0031063A">
              <w:rPr>
                <w:rFonts w:ascii="Times New Roman" w:eastAsia="Times New Roman" w:hAnsi="Times New Roman"/>
                <w:color w:val="000000"/>
              </w:rPr>
              <w:t>Mission Operation Center</w:t>
            </w:r>
          </w:p>
        </w:tc>
      </w:tr>
      <w:tr w:rsidR="00404448" w:rsidRPr="0031063A">
        <w:trPr>
          <w:trHeight w:val="305"/>
        </w:trPr>
        <w:tc>
          <w:tcPr>
            <w:tcW w:w="1166"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Pr>
                <w:rFonts w:ascii="Times New Roman" w:eastAsia="Times New Roman" w:hAnsi="Times New Roman"/>
                <w:color w:val="000000"/>
              </w:rPr>
              <w:t>MORC</w:t>
            </w:r>
          </w:p>
        </w:tc>
        <w:tc>
          <w:tcPr>
            <w:tcW w:w="5804"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Pr>
                <w:rFonts w:ascii="Times New Roman" w:eastAsia="Times New Roman" w:hAnsi="Times New Roman"/>
                <w:color w:val="000000"/>
              </w:rPr>
              <w:t>Module, Output, Row, Column</w:t>
            </w:r>
          </w:p>
        </w:tc>
      </w:tr>
      <w:tr w:rsidR="00404448" w:rsidRPr="0031063A">
        <w:trPr>
          <w:trHeight w:val="305"/>
        </w:trPr>
        <w:tc>
          <w:tcPr>
            <w:tcW w:w="1166"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sidRPr="0031063A">
              <w:rPr>
                <w:rFonts w:ascii="Times New Roman" w:eastAsia="Times New Roman" w:hAnsi="Times New Roman"/>
                <w:color w:val="000000"/>
              </w:rPr>
              <w:t>NVM</w:t>
            </w:r>
          </w:p>
        </w:tc>
        <w:tc>
          <w:tcPr>
            <w:tcW w:w="5804"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sidRPr="0031063A">
              <w:rPr>
                <w:rFonts w:ascii="Times New Roman" w:eastAsia="Times New Roman" w:hAnsi="Times New Roman"/>
                <w:color w:val="000000"/>
              </w:rPr>
              <w:t>Non-Volatile Memory</w:t>
            </w:r>
          </w:p>
        </w:tc>
      </w:tr>
      <w:tr w:rsidR="00404448" w:rsidRPr="0031063A">
        <w:trPr>
          <w:trHeight w:val="305"/>
        </w:trPr>
        <w:tc>
          <w:tcPr>
            <w:tcW w:w="1166"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Pr>
                <w:rFonts w:ascii="Times New Roman" w:eastAsia="Times New Roman" w:hAnsi="Times New Roman"/>
                <w:color w:val="000000"/>
              </w:rPr>
              <w:t>OFAD</w:t>
            </w:r>
          </w:p>
        </w:tc>
        <w:tc>
          <w:tcPr>
            <w:tcW w:w="5804"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Pr>
                <w:rFonts w:ascii="Times New Roman" w:eastAsia="Times New Roman" w:hAnsi="Times New Roman"/>
                <w:color w:val="000000"/>
              </w:rPr>
              <w:t>Optical Field Angle Distortion</w:t>
            </w:r>
          </w:p>
        </w:tc>
      </w:tr>
      <w:tr w:rsidR="00404448" w:rsidRPr="0031063A">
        <w:trPr>
          <w:trHeight w:val="305"/>
        </w:trPr>
        <w:tc>
          <w:tcPr>
            <w:tcW w:w="1166"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sidRPr="0031063A">
              <w:rPr>
                <w:rFonts w:ascii="Times New Roman" w:eastAsia="Times New Roman" w:hAnsi="Times New Roman"/>
                <w:color w:val="000000"/>
              </w:rPr>
              <w:t>PM</w:t>
            </w:r>
          </w:p>
        </w:tc>
        <w:tc>
          <w:tcPr>
            <w:tcW w:w="5804"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sidRPr="0031063A">
              <w:rPr>
                <w:rFonts w:ascii="Times New Roman" w:eastAsia="Times New Roman" w:hAnsi="Times New Roman"/>
                <w:color w:val="000000"/>
              </w:rPr>
              <w:t>Primary Mirror</w:t>
            </w:r>
          </w:p>
        </w:tc>
      </w:tr>
      <w:tr w:rsidR="00404448" w:rsidRPr="0031063A">
        <w:trPr>
          <w:trHeight w:val="305"/>
        </w:trPr>
        <w:tc>
          <w:tcPr>
            <w:tcW w:w="1166"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sidRPr="0031063A">
              <w:rPr>
                <w:rFonts w:ascii="Times New Roman" w:eastAsia="Times New Roman" w:hAnsi="Times New Roman"/>
                <w:color w:val="000000"/>
              </w:rPr>
              <w:t>PMA</w:t>
            </w:r>
          </w:p>
        </w:tc>
        <w:tc>
          <w:tcPr>
            <w:tcW w:w="5804"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sidRPr="0031063A">
              <w:rPr>
                <w:rFonts w:ascii="Times New Roman" w:eastAsia="Times New Roman" w:hAnsi="Times New Roman"/>
                <w:color w:val="000000"/>
              </w:rPr>
              <w:t>Primary Mirror Assembly</w:t>
            </w:r>
          </w:p>
        </w:tc>
      </w:tr>
      <w:tr w:rsidR="00404448" w:rsidRPr="0031063A">
        <w:trPr>
          <w:trHeight w:val="305"/>
        </w:trPr>
        <w:tc>
          <w:tcPr>
            <w:tcW w:w="1166"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Pr>
                <w:rFonts w:ascii="Times New Roman" w:eastAsia="Times New Roman" w:hAnsi="Times New Roman"/>
                <w:color w:val="000000"/>
              </w:rPr>
              <w:t>POI</w:t>
            </w:r>
          </w:p>
        </w:tc>
        <w:tc>
          <w:tcPr>
            <w:tcW w:w="5804"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Pr>
                <w:rFonts w:ascii="Times New Roman" w:eastAsia="Times New Roman" w:hAnsi="Times New Roman"/>
                <w:color w:val="000000"/>
              </w:rPr>
              <w:t>Pixels of Interest</w:t>
            </w:r>
          </w:p>
        </w:tc>
      </w:tr>
      <w:tr w:rsidR="00404448" w:rsidRPr="0031063A">
        <w:trPr>
          <w:trHeight w:val="305"/>
        </w:trPr>
        <w:tc>
          <w:tcPr>
            <w:tcW w:w="1166"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sidRPr="0031063A">
              <w:rPr>
                <w:rFonts w:ascii="Times New Roman" w:eastAsia="Times New Roman" w:hAnsi="Times New Roman"/>
                <w:color w:val="000000"/>
              </w:rPr>
              <w:t>ppm</w:t>
            </w:r>
          </w:p>
        </w:tc>
        <w:tc>
          <w:tcPr>
            <w:tcW w:w="5804"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sidRPr="0031063A">
              <w:rPr>
                <w:rFonts w:ascii="Times New Roman" w:eastAsia="Times New Roman" w:hAnsi="Times New Roman"/>
                <w:color w:val="000000"/>
              </w:rPr>
              <w:t>parts per million</w:t>
            </w:r>
          </w:p>
        </w:tc>
      </w:tr>
      <w:tr w:rsidR="00404448" w:rsidRPr="0031063A">
        <w:trPr>
          <w:trHeight w:val="305"/>
        </w:trPr>
        <w:tc>
          <w:tcPr>
            <w:tcW w:w="1166"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Pr>
                <w:rFonts w:ascii="Times New Roman" w:eastAsia="Times New Roman" w:hAnsi="Times New Roman"/>
                <w:color w:val="000000"/>
              </w:rPr>
              <w:t>PRF</w:t>
            </w:r>
          </w:p>
        </w:tc>
        <w:tc>
          <w:tcPr>
            <w:tcW w:w="5804"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Pr>
                <w:rFonts w:ascii="Times New Roman" w:eastAsia="Times New Roman" w:hAnsi="Times New Roman"/>
                <w:color w:val="000000"/>
              </w:rPr>
              <w:t>Pixel Response Function</w:t>
            </w:r>
          </w:p>
        </w:tc>
      </w:tr>
      <w:tr w:rsidR="00404448" w:rsidRPr="0031063A">
        <w:trPr>
          <w:trHeight w:val="305"/>
        </w:trPr>
        <w:tc>
          <w:tcPr>
            <w:tcW w:w="1166"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Pr>
                <w:rFonts w:ascii="Times New Roman" w:eastAsia="Times New Roman" w:hAnsi="Times New Roman"/>
                <w:color w:val="000000"/>
              </w:rPr>
              <w:t>PRNU</w:t>
            </w:r>
          </w:p>
        </w:tc>
        <w:tc>
          <w:tcPr>
            <w:tcW w:w="5804"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Pr>
                <w:rFonts w:ascii="Times New Roman" w:eastAsia="Times New Roman" w:hAnsi="Times New Roman"/>
                <w:color w:val="000000"/>
              </w:rPr>
              <w:t>Pixel Response Non-Uniformity</w:t>
            </w:r>
          </w:p>
        </w:tc>
      </w:tr>
      <w:tr w:rsidR="00404448" w:rsidRPr="0031063A">
        <w:trPr>
          <w:trHeight w:val="305"/>
        </w:trPr>
        <w:tc>
          <w:tcPr>
            <w:tcW w:w="1166"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sidRPr="0031063A">
              <w:rPr>
                <w:rFonts w:ascii="Times New Roman" w:eastAsia="Times New Roman" w:hAnsi="Times New Roman"/>
                <w:color w:val="000000"/>
              </w:rPr>
              <w:t>PSD</w:t>
            </w:r>
          </w:p>
        </w:tc>
        <w:tc>
          <w:tcPr>
            <w:tcW w:w="5804" w:type="dxa"/>
            <w:tcBorders>
              <w:top w:val="nil"/>
              <w:left w:val="nil"/>
              <w:bottom w:val="nil"/>
              <w:right w:val="nil"/>
            </w:tcBorders>
          </w:tcPr>
          <w:p w:rsidR="00404448" w:rsidRPr="0031063A" w:rsidRDefault="00EB37F3" w:rsidP="00404448">
            <w:pPr>
              <w:autoSpaceDE w:val="0"/>
              <w:autoSpaceDN w:val="0"/>
              <w:adjustRightInd w:val="0"/>
              <w:spacing w:after="0"/>
              <w:rPr>
                <w:rFonts w:ascii="Times New Roman" w:eastAsia="Times New Roman" w:hAnsi="Times New Roman"/>
                <w:color w:val="000000"/>
              </w:rPr>
            </w:pPr>
            <w:r w:rsidRPr="0031063A">
              <w:rPr>
                <w:rFonts w:ascii="Times New Roman" w:eastAsia="Times New Roman" w:hAnsi="Times New Roman"/>
                <w:color w:val="000000"/>
              </w:rPr>
              <w:t>Power</w:t>
            </w:r>
            <w:r w:rsidR="00404448" w:rsidRPr="0031063A">
              <w:rPr>
                <w:rFonts w:ascii="Times New Roman" w:eastAsia="Times New Roman" w:hAnsi="Times New Roman"/>
                <w:color w:val="000000"/>
              </w:rPr>
              <w:t xml:space="preserve"> spectral density</w:t>
            </w:r>
          </w:p>
        </w:tc>
      </w:tr>
      <w:tr w:rsidR="00404448" w:rsidRPr="0031063A">
        <w:trPr>
          <w:trHeight w:val="305"/>
        </w:trPr>
        <w:tc>
          <w:tcPr>
            <w:tcW w:w="1166"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sidRPr="0031063A">
              <w:rPr>
                <w:rFonts w:ascii="Times New Roman" w:eastAsia="Times New Roman" w:hAnsi="Times New Roman"/>
                <w:color w:val="000000"/>
              </w:rPr>
              <w:t>PSF</w:t>
            </w:r>
          </w:p>
        </w:tc>
        <w:tc>
          <w:tcPr>
            <w:tcW w:w="5804"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sidRPr="0031063A">
              <w:rPr>
                <w:rFonts w:ascii="Times New Roman" w:eastAsia="Times New Roman" w:hAnsi="Times New Roman"/>
                <w:color w:val="000000"/>
              </w:rPr>
              <w:t>Point Spread Function</w:t>
            </w:r>
          </w:p>
        </w:tc>
      </w:tr>
      <w:tr w:rsidR="00404448" w:rsidRPr="0031063A">
        <w:trPr>
          <w:trHeight w:val="305"/>
        </w:trPr>
        <w:tc>
          <w:tcPr>
            <w:tcW w:w="1166"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sidRPr="0031063A">
              <w:rPr>
                <w:rFonts w:ascii="Times New Roman" w:eastAsia="Times New Roman" w:hAnsi="Times New Roman"/>
                <w:color w:val="000000"/>
              </w:rPr>
              <w:t>PSP</w:t>
            </w:r>
          </w:p>
        </w:tc>
        <w:tc>
          <w:tcPr>
            <w:tcW w:w="5804"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sidRPr="0031063A">
              <w:rPr>
                <w:rFonts w:ascii="Times New Roman" w:eastAsia="Times New Roman" w:hAnsi="Times New Roman"/>
                <w:color w:val="000000"/>
              </w:rPr>
              <w:t>Participating Scientist Program</w:t>
            </w:r>
          </w:p>
        </w:tc>
      </w:tr>
      <w:tr w:rsidR="00404448" w:rsidRPr="0031063A">
        <w:trPr>
          <w:trHeight w:val="305"/>
        </w:trPr>
        <w:tc>
          <w:tcPr>
            <w:tcW w:w="1166" w:type="dxa"/>
            <w:tcBorders>
              <w:top w:val="nil"/>
              <w:left w:val="nil"/>
              <w:bottom w:val="nil"/>
              <w:right w:val="nil"/>
            </w:tcBorders>
          </w:tcPr>
          <w:p w:rsidR="00404448" w:rsidRDefault="00404448" w:rsidP="00404448">
            <w:pPr>
              <w:autoSpaceDE w:val="0"/>
              <w:autoSpaceDN w:val="0"/>
              <w:adjustRightInd w:val="0"/>
              <w:spacing w:after="0"/>
              <w:rPr>
                <w:rFonts w:ascii="Times New Roman" w:eastAsia="Times New Roman" w:hAnsi="Times New Roman"/>
                <w:color w:val="000000"/>
              </w:rPr>
            </w:pPr>
            <w:r>
              <w:rPr>
                <w:rFonts w:ascii="Times New Roman" w:eastAsia="Times New Roman" w:hAnsi="Times New Roman"/>
                <w:color w:val="000000"/>
              </w:rPr>
              <w:t>PWA</w:t>
            </w:r>
          </w:p>
        </w:tc>
        <w:tc>
          <w:tcPr>
            <w:tcW w:w="5804" w:type="dxa"/>
            <w:tcBorders>
              <w:top w:val="nil"/>
              <w:left w:val="nil"/>
              <w:bottom w:val="nil"/>
              <w:right w:val="nil"/>
            </w:tcBorders>
          </w:tcPr>
          <w:p w:rsidR="00404448" w:rsidRDefault="00404448" w:rsidP="00404448">
            <w:pPr>
              <w:autoSpaceDE w:val="0"/>
              <w:autoSpaceDN w:val="0"/>
              <w:adjustRightInd w:val="0"/>
              <w:spacing w:after="0"/>
              <w:rPr>
                <w:rFonts w:ascii="Times New Roman" w:eastAsia="Times New Roman" w:hAnsi="Times New Roman"/>
                <w:color w:val="000000"/>
              </w:rPr>
            </w:pPr>
            <w:r>
              <w:rPr>
                <w:rFonts w:ascii="Times New Roman" w:eastAsia="Times New Roman" w:hAnsi="Times New Roman"/>
                <w:color w:val="000000"/>
              </w:rPr>
              <w:t>Printed Wiring Assembly</w:t>
            </w:r>
          </w:p>
        </w:tc>
      </w:tr>
      <w:tr w:rsidR="00404448" w:rsidRPr="0031063A">
        <w:trPr>
          <w:trHeight w:val="305"/>
        </w:trPr>
        <w:tc>
          <w:tcPr>
            <w:tcW w:w="1166"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Pr>
                <w:rFonts w:ascii="Times New Roman" w:eastAsia="Times New Roman" w:hAnsi="Times New Roman"/>
                <w:color w:val="000000"/>
              </w:rPr>
              <w:t>QE</w:t>
            </w:r>
          </w:p>
        </w:tc>
        <w:tc>
          <w:tcPr>
            <w:tcW w:w="5804"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Pr>
                <w:rFonts w:ascii="Times New Roman" w:eastAsia="Times New Roman" w:hAnsi="Times New Roman"/>
                <w:color w:val="000000"/>
              </w:rPr>
              <w:t>Quantum Efficiency</w:t>
            </w:r>
          </w:p>
        </w:tc>
      </w:tr>
      <w:tr w:rsidR="00404448" w:rsidRPr="0031063A">
        <w:trPr>
          <w:trHeight w:val="305"/>
        </w:trPr>
        <w:tc>
          <w:tcPr>
            <w:tcW w:w="1166"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Pr>
                <w:rFonts w:ascii="Times New Roman" w:eastAsia="Times New Roman" w:hAnsi="Times New Roman"/>
                <w:color w:val="000000"/>
              </w:rPr>
              <w:t>RC</w:t>
            </w:r>
          </w:p>
        </w:tc>
        <w:tc>
          <w:tcPr>
            <w:tcW w:w="5804"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Pr>
                <w:rFonts w:ascii="Times New Roman" w:eastAsia="Times New Roman" w:hAnsi="Times New Roman"/>
                <w:color w:val="000000"/>
              </w:rPr>
              <w:t>Reverse Clock</w:t>
            </w:r>
          </w:p>
        </w:tc>
      </w:tr>
      <w:tr w:rsidR="00404448" w:rsidRPr="0031063A">
        <w:trPr>
          <w:trHeight w:val="305"/>
        </w:trPr>
        <w:tc>
          <w:tcPr>
            <w:tcW w:w="1166"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sidRPr="0031063A">
              <w:rPr>
                <w:rFonts w:ascii="Times New Roman" w:eastAsia="Times New Roman" w:hAnsi="Times New Roman"/>
                <w:color w:val="000000"/>
              </w:rPr>
              <w:t>S/C</w:t>
            </w:r>
          </w:p>
        </w:tc>
        <w:tc>
          <w:tcPr>
            <w:tcW w:w="5804"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sidRPr="0031063A">
              <w:rPr>
                <w:rFonts w:ascii="Times New Roman" w:eastAsia="Times New Roman" w:hAnsi="Times New Roman"/>
                <w:color w:val="000000"/>
              </w:rPr>
              <w:t>Spacecraft</w:t>
            </w:r>
          </w:p>
        </w:tc>
      </w:tr>
      <w:tr w:rsidR="00404448" w:rsidRPr="0031063A">
        <w:trPr>
          <w:trHeight w:val="305"/>
        </w:trPr>
        <w:tc>
          <w:tcPr>
            <w:tcW w:w="1166"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sidRPr="0031063A">
              <w:rPr>
                <w:rFonts w:ascii="Times New Roman" w:eastAsia="Times New Roman" w:hAnsi="Times New Roman"/>
                <w:color w:val="000000"/>
              </w:rPr>
              <w:t>S/W</w:t>
            </w:r>
          </w:p>
        </w:tc>
        <w:tc>
          <w:tcPr>
            <w:tcW w:w="5804"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sidRPr="0031063A">
              <w:rPr>
                <w:rFonts w:ascii="Times New Roman" w:eastAsia="Times New Roman" w:hAnsi="Times New Roman"/>
                <w:color w:val="000000"/>
              </w:rPr>
              <w:t>Software</w:t>
            </w:r>
          </w:p>
        </w:tc>
      </w:tr>
      <w:tr w:rsidR="00404448" w:rsidRPr="0031063A">
        <w:trPr>
          <w:trHeight w:val="305"/>
        </w:trPr>
        <w:tc>
          <w:tcPr>
            <w:tcW w:w="1166"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sidRPr="0031063A">
              <w:rPr>
                <w:rFonts w:ascii="Times New Roman" w:eastAsia="Times New Roman" w:hAnsi="Times New Roman"/>
                <w:color w:val="000000"/>
              </w:rPr>
              <w:t>SAO</w:t>
            </w:r>
          </w:p>
        </w:tc>
        <w:tc>
          <w:tcPr>
            <w:tcW w:w="5804"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sidRPr="0031063A">
              <w:rPr>
                <w:rFonts w:ascii="Times New Roman" w:eastAsia="Times New Roman" w:hAnsi="Times New Roman"/>
                <w:color w:val="000000"/>
              </w:rPr>
              <w:t>Smithsonian Astrophysical Observatory</w:t>
            </w:r>
          </w:p>
        </w:tc>
      </w:tr>
      <w:tr w:rsidR="00404448" w:rsidRPr="0031063A">
        <w:trPr>
          <w:trHeight w:val="305"/>
        </w:trPr>
        <w:tc>
          <w:tcPr>
            <w:tcW w:w="1166"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Pr>
                <w:rFonts w:ascii="Times New Roman" w:eastAsia="Times New Roman" w:hAnsi="Times New Roman"/>
                <w:color w:val="000000"/>
              </w:rPr>
              <w:t>SC</w:t>
            </w:r>
          </w:p>
        </w:tc>
        <w:tc>
          <w:tcPr>
            <w:tcW w:w="5804"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Pr>
                <w:rFonts w:ascii="Times New Roman" w:eastAsia="Times New Roman" w:hAnsi="Times New Roman"/>
                <w:color w:val="000000"/>
              </w:rPr>
              <w:t>Short Cadence</w:t>
            </w:r>
          </w:p>
        </w:tc>
      </w:tr>
      <w:tr w:rsidR="00404448" w:rsidRPr="0031063A">
        <w:trPr>
          <w:trHeight w:val="305"/>
        </w:trPr>
        <w:tc>
          <w:tcPr>
            <w:tcW w:w="1166"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sidRPr="0031063A">
              <w:rPr>
                <w:rFonts w:ascii="Times New Roman" w:eastAsia="Times New Roman" w:hAnsi="Times New Roman"/>
                <w:color w:val="000000"/>
              </w:rPr>
              <w:t>SC</w:t>
            </w:r>
            <w:r>
              <w:rPr>
                <w:rFonts w:ascii="Times New Roman" w:eastAsia="Times New Roman" w:hAnsi="Times New Roman"/>
                <w:color w:val="000000"/>
              </w:rPr>
              <w:t>o</w:t>
            </w:r>
          </w:p>
        </w:tc>
        <w:tc>
          <w:tcPr>
            <w:tcW w:w="5804"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sidRPr="0031063A">
              <w:rPr>
                <w:rFonts w:ascii="Times New Roman" w:eastAsia="Times New Roman" w:hAnsi="Times New Roman"/>
                <w:color w:val="000000"/>
              </w:rPr>
              <w:t xml:space="preserve">Schmidt Corrector </w:t>
            </w:r>
          </w:p>
        </w:tc>
      </w:tr>
      <w:tr w:rsidR="00404448" w:rsidRPr="0031063A">
        <w:trPr>
          <w:trHeight w:val="305"/>
        </w:trPr>
        <w:tc>
          <w:tcPr>
            <w:tcW w:w="1166"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Pr>
                <w:rFonts w:ascii="Times New Roman" w:eastAsia="Times New Roman" w:hAnsi="Times New Roman"/>
                <w:color w:val="000000"/>
              </w:rPr>
              <w:t>SDA</w:t>
            </w:r>
          </w:p>
        </w:tc>
        <w:tc>
          <w:tcPr>
            <w:tcW w:w="5804"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Pr>
                <w:rFonts w:ascii="Times New Roman" w:eastAsia="Times New Roman" w:hAnsi="Times New Roman"/>
                <w:color w:val="000000"/>
              </w:rPr>
              <w:t>Science Data Accumulator</w:t>
            </w:r>
          </w:p>
        </w:tc>
      </w:tr>
      <w:tr w:rsidR="00404448" w:rsidRPr="0031063A">
        <w:trPr>
          <w:trHeight w:val="305"/>
        </w:trPr>
        <w:tc>
          <w:tcPr>
            <w:tcW w:w="1166"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sidRPr="0031063A">
              <w:rPr>
                <w:rFonts w:ascii="Times New Roman" w:eastAsia="Times New Roman" w:hAnsi="Times New Roman"/>
                <w:color w:val="000000"/>
              </w:rPr>
              <w:t>SDC</w:t>
            </w:r>
          </w:p>
        </w:tc>
        <w:tc>
          <w:tcPr>
            <w:tcW w:w="5804"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sidRPr="0031063A">
              <w:rPr>
                <w:rFonts w:ascii="Times New Roman" w:eastAsia="Times New Roman" w:hAnsi="Times New Roman"/>
                <w:color w:val="000000"/>
              </w:rPr>
              <w:t>Science Data Center</w:t>
            </w:r>
          </w:p>
        </w:tc>
      </w:tr>
      <w:tr w:rsidR="00404448" w:rsidRPr="0031063A">
        <w:trPr>
          <w:trHeight w:val="305"/>
        </w:trPr>
        <w:tc>
          <w:tcPr>
            <w:tcW w:w="1166"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sidRPr="0031063A">
              <w:rPr>
                <w:rFonts w:ascii="Times New Roman" w:eastAsia="Times New Roman" w:hAnsi="Times New Roman"/>
                <w:color w:val="000000"/>
              </w:rPr>
              <w:t>SNR</w:t>
            </w:r>
          </w:p>
        </w:tc>
        <w:tc>
          <w:tcPr>
            <w:tcW w:w="5804"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sidRPr="0031063A">
              <w:rPr>
                <w:rFonts w:ascii="Times New Roman" w:eastAsia="Times New Roman" w:hAnsi="Times New Roman"/>
                <w:color w:val="000000"/>
              </w:rPr>
              <w:t>signal-to-noise</w:t>
            </w:r>
          </w:p>
        </w:tc>
      </w:tr>
      <w:tr w:rsidR="00404448" w:rsidRPr="0031063A">
        <w:trPr>
          <w:trHeight w:val="305"/>
        </w:trPr>
        <w:tc>
          <w:tcPr>
            <w:tcW w:w="1166"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Pr>
                <w:rFonts w:ascii="Times New Roman" w:eastAsia="Times New Roman" w:hAnsi="Times New Roman"/>
                <w:color w:val="000000"/>
              </w:rPr>
              <w:t>SO</w:t>
            </w:r>
          </w:p>
        </w:tc>
        <w:tc>
          <w:tcPr>
            <w:tcW w:w="5804"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Pr>
                <w:rFonts w:ascii="Times New Roman" w:eastAsia="Times New Roman" w:hAnsi="Times New Roman"/>
                <w:color w:val="000000"/>
              </w:rPr>
              <w:t>Science Office</w:t>
            </w:r>
          </w:p>
        </w:tc>
      </w:tr>
      <w:tr w:rsidR="00404448" w:rsidRPr="0031063A">
        <w:trPr>
          <w:trHeight w:val="305"/>
        </w:trPr>
        <w:tc>
          <w:tcPr>
            <w:tcW w:w="1166"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sidRPr="0031063A">
              <w:rPr>
                <w:rFonts w:ascii="Times New Roman" w:eastAsia="Times New Roman" w:hAnsi="Times New Roman"/>
                <w:color w:val="000000"/>
              </w:rPr>
              <w:t>SOC</w:t>
            </w:r>
          </w:p>
        </w:tc>
        <w:tc>
          <w:tcPr>
            <w:tcW w:w="5804"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sidRPr="0031063A">
              <w:rPr>
                <w:rFonts w:ascii="Times New Roman" w:eastAsia="Times New Roman" w:hAnsi="Times New Roman"/>
                <w:color w:val="000000"/>
              </w:rPr>
              <w:t>Science Operations Center</w:t>
            </w:r>
          </w:p>
        </w:tc>
      </w:tr>
      <w:tr w:rsidR="00404448" w:rsidRPr="0031063A">
        <w:trPr>
          <w:trHeight w:val="305"/>
        </w:trPr>
        <w:tc>
          <w:tcPr>
            <w:tcW w:w="1166"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Pr>
                <w:rFonts w:ascii="Times New Roman" w:eastAsia="Times New Roman" w:hAnsi="Times New Roman"/>
                <w:color w:val="000000"/>
              </w:rPr>
              <w:t>SOL</w:t>
            </w:r>
          </w:p>
        </w:tc>
        <w:tc>
          <w:tcPr>
            <w:tcW w:w="5804"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Pr>
                <w:rFonts w:ascii="Times New Roman" w:eastAsia="Times New Roman" w:hAnsi="Times New Roman"/>
                <w:color w:val="000000"/>
              </w:rPr>
              <w:t>Start-of-Line</w:t>
            </w:r>
          </w:p>
        </w:tc>
      </w:tr>
      <w:tr w:rsidR="00404448" w:rsidRPr="0031063A">
        <w:trPr>
          <w:trHeight w:val="305"/>
        </w:trPr>
        <w:tc>
          <w:tcPr>
            <w:tcW w:w="1166"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sidRPr="0031063A">
              <w:rPr>
                <w:rFonts w:ascii="Times New Roman" w:eastAsia="Times New Roman" w:hAnsi="Times New Roman"/>
                <w:color w:val="000000"/>
              </w:rPr>
              <w:t>SSR</w:t>
            </w:r>
          </w:p>
        </w:tc>
        <w:tc>
          <w:tcPr>
            <w:tcW w:w="5804"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sidRPr="0031063A">
              <w:rPr>
                <w:rFonts w:ascii="Times New Roman" w:eastAsia="Times New Roman" w:hAnsi="Times New Roman"/>
                <w:color w:val="000000"/>
              </w:rPr>
              <w:t>Solid State Recorder</w:t>
            </w:r>
          </w:p>
        </w:tc>
      </w:tr>
      <w:tr w:rsidR="00404448" w:rsidRPr="0031063A">
        <w:trPr>
          <w:trHeight w:val="305"/>
        </w:trPr>
        <w:tc>
          <w:tcPr>
            <w:tcW w:w="1166"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Pr>
                <w:rFonts w:ascii="Times New Roman" w:eastAsia="Times New Roman" w:hAnsi="Times New Roman"/>
                <w:color w:val="000000"/>
              </w:rPr>
              <w:t>SSTVT</w:t>
            </w:r>
          </w:p>
        </w:tc>
        <w:tc>
          <w:tcPr>
            <w:tcW w:w="5804"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Pr>
                <w:rFonts w:ascii="Times New Roman" w:eastAsia="Times New Roman" w:hAnsi="Times New Roman"/>
                <w:color w:val="000000"/>
              </w:rPr>
              <w:t>Single-String Transit Verification Test</w:t>
            </w:r>
          </w:p>
        </w:tc>
      </w:tr>
      <w:tr w:rsidR="00404448" w:rsidRPr="0031063A">
        <w:trPr>
          <w:trHeight w:val="305"/>
        </w:trPr>
        <w:tc>
          <w:tcPr>
            <w:tcW w:w="1166"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sidRPr="0031063A">
              <w:rPr>
                <w:rFonts w:ascii="Times New Roman" w:eastAsia="Times New Roman" w:hAnsi="Times New Roman"/>
                <w:color w:val="000000"/>
              </w:rPr>
              <w:t>STScI</w:t>
            </w:r>
          </w:p>
        </w:tc>
        <w:tc>
          <w:tcPr>
            <w:tcW w:w="5804"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sidRPr="0031063A">
              <w:rPr>
                <w:rFonts w:ascii="Times New Roman" w:eastAsia="Times New Roman" w:hAnsi="Times New Roman"/>
                <w:color w:val="000000"/>
              </w:rPr>
              <w:t>Space Telescope Science Institute</w:t>
            </w:r>
          </w:p>
        </w:tc>
      </w:tr>
      <w:tr w:rsidR="00404448" w:rsidRPr="0031063A">
        <w:trPr>
          <w:trHeight w:val="305"/>
        </w:trPr>
        <w:tc>
          <w:tcPr>
            <w:tcW w:w="1166" w:type="dxa"/>
            <w:tcBorders>
              <w:top w:val="nil"/>
              <w:left w:val="nil"/>
              <w:bottom w:val="nil"/>
              <w:right w:val="nil"/>
            </w:tcBorders>
          </w:tcPr>
          <w:p w:rsidR="00404448" w:rsidRDefault="00404448" w:rsidP="00404448">
            <w:pPr>
              <w:autoSpaceDE w:val="0"/>
              <w:autoSpaceDN w:val="0"/>
              <w:adjustRightInd w:val="0"/>
              <w:spacing w:after="0"/>
              <w:rPr>
                <w:rFonts w:ascii="Times New Roman" w:eastAsia="Times New Roman" w:hAnsi="Times New Roman"/>
                <w:color w:val="000000"/>
              </w:rPr>
            </w:pPr>
            <w:r>
              <w:rPr>
                <w:rFonts w:ascii="Times New Roman" w:eastAsia="Times New Roman" w:hAnsi="Times New Roman"/>
                <w:color w:val="000000"/>
              </w:rPr>
              <w:t>TDT</w:t>
            </w:r>
          </w:p>
        </w:tc>
        <w:tc>
          <w:tcPr>
            <w:tcW w:w="5804" w:type="dxa"/>
            <w:tcBorders>
              <w:top w:val="nil"/>
              <w:left w:val="nil"/>
              <w:bottom w:val="nil"/>
              <w:right w:val="nil"/>
            </w:tcBorders>
          </w:tcPr>
          <w:p w:rsidR="00404448" w:rsidRDefault="00404448" w:rsidP="00404448">
            <w:pPr>
              <w:autoSpaceDE w:val="0"/>
              <w:autoSpaceDN w:val="0"/>
              <w:adjustRightInd w:val="0"/>
              <w:spacing w:after="0"/>
              <w:rPr>
                <w:rFonts w:ascii="Times New Roman" w:eastAsia="Times New Roman" w:hAnsi="Times New Roman"/>
                <w:color w:val="000000"/>
              </w:rPr>
            </w:pPr>
            <w:r>
              <w:rPr>
                <w:rFonts w:ascii="Times New Roman" w:eastAsia="Times New Roman" w:hAnsi="Times New Roman"/>
                <w:color w:val="000000"/>
              </w:rPr>
              <w:t>Target Definition Table</w:t>
            </w:r>
          </w:p>
        </w:tc>
      </w:tr>
      <w:tr w:rsidR="00404448" w:rsidRPr="0031063A">
        <w:trPr>
          <w:trHeight w:val="305"/>
        </w:trPr>
        <w:tc>
          <w:tcPr>
            <w:tcW w:w="1166"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Pr>
                <w:rFonts w:ascii="Times New Roman" w:eastAsia="Times New Roman" w:hAnsi="Times New Roman"/>
                <w:color w:val="000000"/>
              </w:rPr>
              <w:t>TVAC</w:t>
            </w:r>
          </w:p>
        </w:tc>
        <w:tc>
          <w:tcPr>
            <w:tcW w:w="5804" w:type="dxa"/>
            <w:tcBorders>
              <w:top w:val="nil"/>
              <w:left w:val="nil"/>
              <w:bottom w:val="nil"/>
              <w:right w:val="nil"/>
            </w:tcBorders>
          </w:tcPr>
          <w:p w:rsidR="00404448" w:rsidRPr="0031063A" w:rsidRDefault="00404448" w:rsidP="00404448">
            <w:pPr>
              <w:autoSpaceDE w:val="0"/>
              <w:autoSpaceDN w:val="0"/>
              <w:adjustRightInd w:val="0"/>
              <w:spacing w:after="0"/>
              <w:rPr>
                <w:rFonts w:ascii="Times New Roman" w:eastAsia="Times New Roman" w:hAnsi="Times New Roman"/>
                <w:color w:val="000000"/>
              </w:rPr>
            </w:pPr>
            <w:r>
              <w:rPr>
                <w:rFonts w:ascii="Times New Roman" w:eastAsia="Times New Roman" w:hAnsi="Times New Roman"/>
                <w:color w:val="000000"/>
              </w:rPr>
              <w:t>Thermal Vacuum testing</w:t>
            </w:r>
          </w:p>
        </w:tc>
      </w:tr>
    </w:tbl>
    <w:p w:rsidR="00404448" w:rsidRPr="00C82084" w:rsidRDefault="00404448" w:rsidP="00404448"/>
    <w:p w:rsidR="00404448" w:rsidRPr="00C82084" w:rsidRDefault="00404448" w:rsidP="00404448"/>
    <w:p w:rsidR="00404448" w:rsidRPr="00445919" w:rsidRDefault="00404448" w:rsidP="00404448"/>
    <w:p w:rsidR="00404448" w:rsidRDefault="00404448" w:rsidP="00404448">
      <w:pPr>
        <w:pStyle w:val="Heading1"/>
        <w:rPr>
          <w:snapToGrid w:val="0"/>
        </w:rPr>
      </w:pPr>
      <w:bookmarkStart w:id="296" w:name="_Ref108521221"/>
      <w:bookmarkStart w:id="297" w:name="_Toc322942230"/>
      <w:r>
        <w:rPr>
          <w:snapToGrid w:val="0"/>
        </w:rPr>
        <w:t>References</w:t>
      </w:r>
      <w:bookmarkEnd w:id="296"/>
      <w:bookmarkEnd w:id="297"/>
    </w:p>
    <w:p w:rsidR="001C682F" w:rsidRDefault="001C682F" w:rsidP="00404448">
      <w:pPr>
        <w:outlineLvl w:val="0"/>
        <w:rPr>
          <w:i/>
          <w:u w:val="single"/>
        </w:rPr>
      </w:pPr>
      <w:r>
        <w:rPr>
          <w:i/>
          <w:u w:val="single"/>
        </w:rPr>
        <w:t>Published Works</w:t>
      </w:r>
    </w:p>
    <w:p w:rsidR="00CE2F93" w:rsidRDefault="00CE2F93" w:rsidP="001C682F">
      <w:r>
        <w:t xml:space="preserve">Argabright, V. S., </w:t>
      </w:r>
      <w:r w:rsidRPr="00CE2F93">
        <w:t>Van</w:t>
      </w:r>
      <w:r>
        <w:t xml:space="preserve"> </w:t>
      </w:r>
      <w:r w:rsidRPr="00CE2F93">
        <w:t>Cleve</w:t>
      </w:r>
      <w:r w:rsidR="00A41C45">
        <w:t>, J. E.,</w:t>
      </w:r>
      <w:r w:rsidR="00AA5E17">
        <w:t xml:space="preserve"> </w:t>
      </w:r>
      <w:r>
        <w:t xml:space="preserve">Bachtell, E. E., </w:t>
      </w:r>
      <w:r w:rsidRPr="00A41C45">
        <w:rPr>
          <w:i/>
        </w:rPr>
        <w:t>et al.</w:t>
      </w:r>
      <w:r>
        <w:t>, 2008</w:t>
      </w:r>
      <w:r w:rsidR="007D4DE2">
        <w:t xml:space="preserve">, </w:t>
      </w:r>
      <w:r w:rsidR="00D4532B">
        <w:t xml:space="preserve">Proc. </w:t>
      </w:r>
      <w:r w:rsidR="00D4532B" w:rsidRPr="00D4532B">
        <w:t>SPIE 7010,</w:t>
      </w:r>
      <w:r w:rsidR="00D4532B">
        <w:t xml:space="preserve"> </w:t>
      </w:r>
      <w:r w:rsidR="00D4532B" w:rsidRPr="00D4532B">
        <w:t>70102L</w:t>
      </w:r>
    </w:p>
    <w:p w:rsidR="00FE00E4" w:rsidRDefault="00C42DAA" w:rsidP="001C682F">
      <w:r>
        <w:t xml:space="preserve">Bryson, S. T., Tenenbaum, P., Jenkins, J. M., </w:t>
      </w:r>
      <w:r w:rsidRPr="00C42DAA">
        <w:rPr>
          <w:i/>
        </w:rPr>
        <w:t>et al</w:t>
      </w:r>
      <w:r w:rsidR="005628BC">
        <w:t>., 2011</w:t>
      </w:r>
      <w:r>
        <w:t xml:space="preserve">, </w:t>
      </w:r>
      <w:r w:rsidR="00FE00E4" w:rsidRPr="00FE00E4">
        <w:t>ApJ</w:t>
      </w:r>
      <w:r>
        <w:t>L.,713(2), pp. L97–L102</w:t>
      </w:r>
    </w:p>
    <w:p w:rsidR="00F203F5" w:rsidRDefault="00F203F5" w:rsidP="001C682F">
      <w:r w:rsidRPr="00F203F5">
        <w:t xml:space="preserve">Caldwell, </w:t>
      </w:r>
      <w:r>
        <w:t xml:space="preserve">D. A, </w:t>
      </w:r>
      <w:r w:rsidRPr="00F203F5">
        <w:t xml:space="preserve">Van Cleve, </w:t>
      </w:r>
      <w:r>
        <w:t xml:space="preserve">J. E., </w:t>
      </w:r>
      <w:r w:rsidRPr="00F203F5">
        <w:t xml:space="preserve">Jenkins, </w:t>
      </w:r>
      <w:r>
        <w:t xml:space="preserve">J. M., </w:t>
      </w:r>
      <w:r w:rsidR="00AA5E17" w:rsidRPr="00C42DAA">
        <w:rPr>
          <w:i/>
        </w:rPr>
        <w:t>et al</w:t>
      </w:r>
      <w:r w:rsidR="00AA5E17">
        <w:t>., 2010, Proc. SPIE, Vol. 7731, 773117</w:t>
      </w:r>
    </w:p>
    <w:p w:rsidR="00122402" w:rsidRDefault="00911DD1" w:rsidP="001C682F">
      <w:r w:rsidRPr="00C81808">
        <w:t xml:space="preserve">Gilliland, R. L., Chaplin, W. J., Dunham, E. W., </w:t>
      </w:r>
      <w:r w:rsidRPr="00C42DAA">
        <w:rPr>
          <w:i/>
        </w:rPr>
        <w:t>et al.</w:t>
      </w:r>
      <w:r w:rsidRPr="00C81808">
        <w:t>, 2011, ApJS, 197, 6</w:t>
      </w:r>
    </w:p>
    <w:p w:rsidR="00911DD1" w:rsidRDefault="00122402" w:rsidP="001C682F">
      <w:r w:rsidRPr="00C81808">
        <w:t>Gilliland, R. L., Chaplin, W. J., Jenkins, J. M., Ramsey, L. W., and Smith, J. C., 2015, AJ, 150, 133</w:t>
      </w:r>
    </w:p>
    <w:p w:rsidR="00C871DB" w:rsidRDefault="00B45E28" w:rsidP="001C682F">
      <w:r>
        <w:t>Jorden, P. R.</w:t>
      </w:r>
      <w:r w:rsidR="00C871DB">
        <w:t xml:space="preserve">, Deltorn, </w:t>
      </w:r>
      <w:r w:rsidR="00AA5E17">
        <w:t>J.-M., and Oates, A. P., 1994</w:t>
      </w:r>
      <w:r w:rsidR="00C871DB">
        <w:t>, Proc. SPIE 2198, pp. 836–850</w:t>
      </w:r>
    </w:p>
    <w:p w:rsidR="003A1132" w:rsidRDefault="003A1132" w:rsidP="001C682F">
      <w:r w:rsidRPr="00AE747C">
        <w:t>Koch, D.G., Borucki, W., Dunham, E.,</w:t>
      </w:r>
      <w:r>
        <w:t xml:space="preserve"> et al., 2000, </w:t>
      </w:r>
      <w:r w:rsidRPr="00AE747C">
        <w:t>Proc. SPIE 4013,  (2000).</w:t>
      </w:r>
    </w:p>
    <w:p w:rsidR="00021065" w:rsidRDefault="001C682F" w:rsidP="001C682F">
      <w:r w:rsidRPr="00C81808">
        <w:t>Kolodziejczak, J. J., Caldwell, D. A., Van Cleve, J. E., et al., 2010, Proc. SPIE, Vol. 7742, 77421G</w:t>
      </w:r>
    </w:p>
    <w:p w:rsidR="001C682F" w:rsidRPr="00C81808" w:rsidRDefault="00021065" w:rsidP="001C682F">
      <w:r>
        <w:t>Morris, R. L., Twicken, J. T., Smith, J. C., et al., 2016, in prep for PASP</w:t>
      </w:r>
    </w:p>
    <w:p w:rsidR="001C682F" w:rsidRPr="00C81808" w:rsidRDefault="001C682F" w:rsidP="001C682F">
      <w:r w:rsidRPr="00C81808">
        <w:t xml:space="preserve">Quintana, E. V., Jenkins, J. M., Clarke, B. D., et al., </w:t>
      </w:r>
      <w:r>
        <w:t xml:space="preserve">2010, </w:t>
      </w:r>
      <w:r w:rsidRPr="00C81808">
        <w:t>Proc. SPIE, Vol. 7740, 77401X</w:t>
      </w:r>
    </w:p>
    <w:p w:rsidR="00BF61F7" w:rsidRDefault="00BF61F7" w:rsidP="001C682F">
      <w:pPr>
        <w:outlineLvl w:val="0"/>
      </w:pPr>
      <w:r>
        <w:t xml:space="preserve">Schroeder, D.J., 1987, </w:t>
      </w:r>
      <w:r w:rsidRPr="00BF61F7">
        <w:rPr>
          <w:i/>
        </w:rPr>
        <w:t>Astronomical Optics</w:t>
      </w:r>
      <w:r>
        <w:t>, Academic Press</w:t>
      </w:r>
    </w:p>
    <w:p w:rsidR="003E67C9" w:rsidRDefault="00F124EA" w:rsidP="001C682F">
      <w:pPr>
        <w:outlineLvl w:val="0"/>
      </w:pPr>
      <w:r w:rsidRPr="00C81808">
        <w:t>Smith, J. C., Stumpe, M. C., Van Cleve, J. E., et al., 2012, PASP, 124, 1000</w:t>
      </w:r>
    </w:p>
    <w:p w:rsidR="00F124EA" w:rsidRDefault="003E67C9" w:rsidP="001C682F">
      <w:pPr>
        <w:outlineLvl w:val="0"/>
      </w:pPr>
      <w:r w:rsidRPr="00C81808">
        <w:t>Stumpe, M. C., Smith, J. C., Van Cleve, J. E., et al, 2012, PASP, 124, 985</w:t>
      </w:r>
    </w:p>
    <w:p w:rsidR="00006D7C" w:rsidRDefault="001C682F" w:rsidP="001C682F">
      <w:pPr>
        <w:outlineLvl w:val="0"/>
      </w:pPr>
      <w:r>
        <w:t xml:space="preserve">Tenenbaum, P., and </w:t>
      </w:r>
      <w:r w:rsidRPr="00BA0989">
        <w:t>Jenkins, J. M</w:t>
      </w:r>
      <w:r>
        <w:t>, 2010,</w:t>
      </w:r>
      <w:r w:rsidRPr="00BA0989">
        <w:t xml:space="preserve"> Proc. SPIE, Vol. 7740, 77401C</w:t>
      </w:r>
    </w:p>
    <w:p w:rsidR="001C682F" w:rsidRDefault="00006D7C" w:rsidP="001C682F">
      <w:pPr>
        <w:outlineLvl w:val="0"/>
      </w:pPr>
      <w:r w:rsidRPr="00006D7C">
        <w:t xml:space="preserve">Twicken, </w:t>
      </w:r>
      <w:r>
        <w:t xml:space="preserve">J. D., </w:t>
      </w:r>
      <w:r w:rsidRPr="00006D7C">
        <w:t xml:space="preserve">Clarke, </w:t>
      </w:r>
      <w:r>
        <w:t xml:space="preserve">B. D., </w:t>
      </w:r>
      <w:r w:rsidRPr="00006D7C">
        <w:t xml:space="preserve">Bryson, </w:t>
      </w:r>
      <w:r>
        <w:t xml:space="preserve">S. T., et al., 2010, </w:t>
      </w:r>
      <w:r w:rsidRPr="00006D7C">
        <w:t>Proc.</w:t>
      </w:r>
      <w:r>
        <w:t xml:space="preserve"> SPIE, Vol. 7740, 774023</w:t>
      </w:r>
    </w:p>
    <w:p w:rsidR="001C682F" w:rsidRPr="001C682F" w:rsidRDefault="001C682F" w:rsidP="001C682F">
      <w:pPr>
        <w:outlineLvl w:val="0"/>
      </w:pPr>
    </w:p>
    <w:p w:rsidR="00C4669C" w:rsidRDefault="004A3FBE" w:rsidP="00404448">
      <w:pPr>
        <w:outlineLvl w:val="0"/>
      </w:pPr>
      <w:r w:rsidRPr="004A3FBE">
        <w:rPr>
          <w:i/>
          <w:u w:val="single"/>
        </w:rPr>
        <w:t>Kepler</w:t>
      </w:r>
      <w:r w:rsidR="008A6DD1">
        <w:rPr>
          <w:u w:val="single"/>
        </w:rPr>
        <w:t xml:space="preserve"> project</w:t>
      </w:r>
      <w:r w:rsidR="00404448" w:rsidRPr="00A5717D">
        <w:rPr>
          <w:u w:val="single"/>
        </w:rPr>
        <w:t xml:space="preserve"> documents</w:t>
      </w:r>
      <w:r w:rsidR="000F604A">
        <w:rPr>
          <w:u w:val="single"/>
        </w:rPr>
        <w:t xml:space="preserve"> available </w:t>
      </w:r>
      <w:r w:rsidR="009F2D94" w:rsidRPr="000F604A">
        <w:rPr>
          <w:u w:val="single"/>
        </w:rPr>
        <w:t>MAST Kepler web site</w:t>
      </w:r>
      <w:r w:rsidR="009F2D94" w:rsidRPr="009F2D94">
        <w:t xml:space="preserve">: </w:t>
      </w:r>
      <w:hyperlink r:id="rId102" w:history="1">
        <w:r w:rsidR="009F2D94" w:rsidRPr="00C978AF">
          <w:rPr>
            <w:rStyle w:val="Hyperlink"/>
          </w:rPr>
          <w:t>http://archive.stsci.edu/kepler/documents.html</w:t>
        </w:r>
      </w:hyperlink>
      <w:r w:rsidR="009F2D94">
        <w:t xml:space="preserve"> </w:t>
      </w:r>
    </w:p>
    <w:p w:rsidR="00112CCB" w:rsidRDefault="00112CCB" w:rsidP="00C4669C">
      <w:pPr>
        <w:outlineLvl w:val="0"/>
      </w:pPr>
      <w:r w:rsidRPr="00112CCB">
        <w:t xml:space="preserve">Christiansen, </w:t>
      </w:r>
      <w:r>
        <w:t xml:space="preserve">J. L., </w:t>
      </w:r>
      <w:r w:rsidRPr="00112CCB">
        <w:t xml:space="preserve">Jenkins, </w:t>
      </w:r>
      <w:r>
        <w:t xml:space="preserve">J. M., </w:t>
      </w:r>
      <w:r w:rsidRPr="00112CCB">
        <w:t>Caldwell,</w:t>
      </w:r>
      <w:r>
        <w:t xml:space="preserve"> D. A., </w:t>
      </w:r>
      <w:r w:rsidRPr="00112CCB">
        <w:rPr>
          <w:i/>
        </w:rPr>
        <w:t>et al.</w:t>
      </w:r>
      <w:r w:rsidR="009C4826">
        <w:t>, 2016</w:t>
      </w:r>
      <w:r>
        <w:t xml:space="preserve">, </w:t>
      </w:r>
      <w:r w:rsidR="009C4826">
        <w:t>KSCI-19040-005</w:t>
      </w:r>
      <w:r w:rsidR="00C3617E">
        <w:t xml:space="preserve"> “</w:t>
      </w:r>
      <w:r w:rsidR="00C3617E" w:rsidRPr="00C3617E">
        <w:t>Kepler</w:t>
      </w:r>
      <w:r w:rsidR="00C3617E">
        <w:t xml:space="preserve"> Data Characteristics Handbook”</w:t>
      </w:r>
      <w:r w:rsidR="001310D6">
        <w:t xml:space="preserve"> (KDCH)</w:t>
      </w:r>
    </w:p>
    <w:p w:rsidR="002C1273" w:rsidRDefault="006D7B71" w:rsidP="00C4669C">
      <w:pPr>
        <w:outlineLvl w:val="0"/>
      </w:pPr>
      <w:r>
        <w:t xml:space="preserve">Jenkins, J. M., Caldwell, D. A., and Gilliland, R. L., </w:t>
      </w:r>
      <w:r w:rsidR="00CF345F">
        <w:t xml:space="preserve">2004, </w:t>
      </w:r>
      <w:r>
        <w:t>KSOC-21008 “Algorithm Theoretical Basis Document”</w:t>
      </w:r>
      <w:r w:rsidR="001310D6">
        <w:t xml:space="preserve"> (ATBD)</w:t>
      </w:r>
    </w:p>
    <w:p w:rsidR="006D7B71" w:rsidRDefault="002C1273" w:rsidP="00C4669C">
      <w:pPr>
        <w:outlineLvl w:val="0"/>
      </w:pPr>
      <w:r>
        <w:t>Fanelli, M. N., et al., 2011, KSCI-19081-001 “Kepler Data Processing Handbook” (KDPH)</w:t>
      </w:r>
    </w:p>
    <w:p w:rsidR="00751922" w:rsidRDefault="00751922" w:rsidP="00C4669C">
      <w:pPr>
        <w:outlineLvl w:val="0"/>
      </w:pPr>
      <w:r>
        <w:t xml:space="preserve">Jenkins, J. M., et al., 2016, </w:t>
      </w:r>
      <w:r w:rsidR="00D73FE3">
        <w:t>KSCI-19081</w:t>
      </w:r>
      <w:r w:rsidR="002C1273">
        <w:t>-002</w:t>
      </w:r>
      <w:r w:rsidR="00D73FE3">
        <w:t xml:space="preserve"> </w:t>
      </w:r>
      <w:r>
        <w:t>“Kepler Data Processing Handbook” (KDPH)</w:t>
      </w:r>
    </w:p>
    <w:p w:rsidR="00AE182D" w:rsidRDefault="00AE182D" w:rsidP="00C4669C">
      <w:pPr>
        <w:outlineLvl w:val="0"/>
      </w:pPr>
      <w:r w:rsidRPr="00AE182D">
        <w:t>Tho</w:t>
      </w:r>
      <w:r>
        <w:t xml:space="preserve">mpson, S. E., </w:t>
      </w:r>
      <w:r w:rsidRPr="00AE182D">
        <w:t xml:space="preserve">Fraquelli, </w:t>
      </w:r>
      <w:r>
        <w:t>D., V</w:t>
      </w:r>
      <w:r w:rsidRPr="00AE182D">
        <w:t>an Cleve</w:t>
      </w:r>
      <w:r>
        <w:t xml:space="preserve">, J. E.,  and </w:t>
      </w:r>
      <w:r w:rsidRPr="00AE182D">
        <w:t>Caldwell</w:t>
      </w:r>
      <w:r>
        <w:t xml:space="preserve">, D. A., </w:t>
      </w:r>
      <w:r w:rsidR="00A0400D">
        <w:t xml:space="preserve">2016, </w:t>
      </w:r>
      <w:r w:rsidRPr="00AE182D">
        <w:t>KDMC-10008-006</w:t>
      </w:r>
      <w:r>
        <w:t xml:space="preserve">  “Kepler Archive Manual”</w:t>
      </w:r>
      <w:r w:rsidR="001310D6">
        <w:t xml:space="preserve"> (KAM)</w:t>
      </w:r>
    </w:p>
    <w:p w:rsidR="00C4669C" w:rsidRDefault="00C4669C" w:rsidP="00C4669C">
      <w:pPr>
        <w:outlineLvl w:val="0"/>
      </w:pPr>
      <w:r>
        <w:t>Van Cleve, J. E., 2008, KADN-26205</w:t>
      </w:r>
      <w:r w:rsidR="006D7B71">
        <w:t xml:space="preserve"> “Artifact Removal Pixels”</w:t>
      </w:r>
    </w:p>
    <w:p w:rsidR="00C4669C" w:rsidRDefault="00C4669C" w:rsidP="00C4669C">
      <w:pPr>
        <w:outlineLvl w:val="0"/>
      </w:pPr>
      <w:r>
        <w:t>Van Cleve, J. E., 2010, KADN-26285</w:t>
      </w:r>
      <w:r w:rsidR="006D7B71">
        <w:t xml:space="preserve"> “World Coordinate System”</w:t>
      </w:r>
    </w:p>
    <w:p w:rsidR="00C4669C" w:rsidRDefault="00C4669C" w:rsidP="00C4669C">
      <w:pPr>
        <w:outlineLvl w:val="0"/>
      </w:pPr>
      <w:r>
        <w:t>Van Cleve, J. E., 2016a, KADN-26196 “Pre-launch Model of Gain and Per-pixel Linearity,”</w:t>
      </w:r>
    </w:p>
    <w:p w:rsidR="00F57E07" w:rsidRDefault="00C4669C" w:rsidP="00404448">
      <w:pPr>
        <w:outlineLvl w:val="0"/>
      </w:pPr>
      <w:r>
        <w:t>Van Cleve, J. E., 2016b, KADN-26197 “</w:t>
      </w:r>
      <w:r w:rsidRPr="007A3908">
        <w:t>Pre-Launch Model of LDE Undershoot</w:t>
      </w:r>
      <w:r>
        <w:t>”</w:t>
      </w:r>
    </w:p>
    <w:p w:rsidR="00C4669C" w:rsidRDefault="00C4669C" w:rsidP="00404448">
      <w:pPr>
        <w:outlineLvl w:val="0"/>
      </w:pPr>
    </w:p>
    <w:p w:rsidR="00404448" w:rsidRPr="00C4669C" w:rsidRDefault="00C4669C" w:rsidP="00404448">
      <w:pPr>
        <w:outlineLvl w:val="0"/>
        <w:rPr>
          <w:u w:val="single"/>
        </w:rPr>
      </w:pPr>
      <w:r>
        <w:rPr>
          <w:u w:val="single"/>
        </w:rPr>
        <w:t xml:space="preserve">BATC </w:t>
      </w:r>
      <w:r w:rsidRPr="00C4669C">
        <w:rPr>
          <w:u w:val="single"/>
        </w:rPr>
        <w:t>documents (not publically available)</w:t>
      </w:r>
    </w:p>
    <w:p w:rsidR="00404448" w:rsidRDefault="00404448" w:rsidP="00404448">
      <w:r>
        <w:t>2216784, “</w:t>
      </w:r>
      <w:r w:rsidR="004A3FBE" w:rsidRPr="004A3FBE">
        <w:rPr>
          <w:i/>
        </w:rPr>
        <w:t>Kepler</w:t>
      </w:r>
      <w:r>
        <w:t xml:space="preserve"> Flight Segment to Ground Segment Interface Control Document” (BATC)</w:t>
      </w:r>
    </w:p>
    <w:p w:rsidR="00404448" w:rsidRDefault="00404448" w:rsidP="00404448">
      <w:r>
        <w:t>2277685, “As-Built Focal Geometry,” by Eric Bachtell (BATC)</w:t>
      </w:r>
    </w:p>
    <w:p w:rsidR="00404448" w:rsidRPr="008B424B" w:rsidRDefault="00404448" w:rsidP="00404448">
      <w:r>
        <w:t>569783, “</w:t>
      </w:r>
      <w:r w:rsidRPr="008B424B">
        <w:t xml:space="preserve">Photometer Specification, </w:t>
      </w:r>
      <w:r w:rsidR="004A3FBE" w:rsidRPr="004A3FBE">
        <w:rPr>
          <w:i/>
        </w:rPr>
        <w:t>Kepler</w:t>
      </w:r>
      <w:r>
        <w:t>,” by Adam Harvey (BATC)</w:t>
      </w:r>
    </w:p>
    <w:p w:rsidR="002D2826" w:rsidRDefault="00404448" w:rsidP="00404448">
      <w:r w:rsidRPr="00841CBA">
        <w:t xml:space="preserve">569788 </w:t>
      </w:r>
      <w:r>
        <w:t>, “CCD-Based Full Frame Detector Chip Assembly / SSF Assembly Source Control Drawing and Statement of Work,” by Dan Peters (BATC)</w:t>
      </w:r>
    </w:p>
    <w:p w:rsidR="00404448" w:rsidRDefault="002D2826" w:rsidP="00404448">
      <w:r>
        <w:t>Bachtell, E., and Peters, D., 2008, “CDPP System Noise,” unreleased spreadsheet version updated 1/21/2008</w:t>
      </w:r>
    </w:p>
    <w:p w:rsidR="00404448" w:rsidRDefault="004A3FBE" w:rsidP="00404448">
      <w:pPr>
        <w:outlineLvl w:val="0"/>
      </w:pPr>
      <w:r w:rsidRPr="004A3FBE">
        <w:rPr>
          <w:i/>
        </w:rPr>
        <w:t>KEPLER</w:t>
      </w:r>
      <w:r w:rsidR="00404448">
        <w:t>.DFM.ACS.082, “</w:t>
      </w:r>
      <w:r w:rsidR="00404448" w:rsidRPr="00192A10">
        <w:t>LOS Jitter Distribution</w:t>
      </w:r>
      <w:r w:rsidR="00404448">
        <w:t>,” by Dustin Putnam</w:t>
      </w:r>
    </w:p>
    <w:p w:rsidR="00404448" w:rsidRPr="007A4F4B" w:rsidRDefault="004A3FBE" w:rsidP="00404448">
      <w:r w:rsidRPr="004A3FBE">
        <w:rPr>
          <w:i/>
        </w:rPr>
        <w:t>KEPLER</w:t>
      </w:r>
      <w:r w:rsidR="00404448" w:rsidRPr="007A4F4B">
        <w:t>.DFM.FPA.005B</w:t>
      </w:r>
      <w:r w:rsidR="00404448">
        <w:t>, “</w:t>
      </w:r>
      <w:r w:rsidR="00404448" w:rsidRPr="007A4F4B">
        <w:t>Science and Fine Guidance CCD Timing</w:t>
      </w:r>
      <w:r w:rsidR="00404448">
        <w:t>,” by Rob Philbrick (BATC)</w:t>
      </w:r>
    </w:p>
    <w:p w:rsidR="00404448" w:rsidRDefault="004A3FBE" w:rsidP="00404448">
      <w:r w:rsidRPr="004A3FBE">
        <w:rPr>
          <w:i/>
        </w:rPr>
        <w:t>KEPLER</w:t>
      </w:r>
      <w:r w:rsidR="00404448" w:rsidRPr="006D0473">
        <w:t>.DFM.FPA.015</w:t>
      </w:r>
      <w:r w:rsidR="00404448">
        <w:t>, “</w:t>
      </w:r>
      <w:r w:rsidR="00404448" w:rsidRPr="006D0473">
        <w:t>Science CCD Image Output Format</w:t>
      </w:r>
      <w:r w:rsidR="00404448">
        <w:t>,” by Rob Philbrick (BATC).</w:t>
      </w:r>
    </w:p>
    <w:p w:rsidR="00404448" w:rsidRDefault="004A3FBE" w:rsidP="00404448">
      <w:r w:rsidRPr="004A3FBE">
        <w:rPr>
          <w:i/>
        </w:rPr>
        <w:t>KEPLER</w:t>
      </w:r>
      <w:r w:rsidR="00404448">
        <w:t>.DFM.FPA.021, “</w:t>
      </w:r>
      <w:r w:rsidR="00404448" w:rsidRPr="00004EFF">
        <w:t>FPAA Metrology Data - As-Built</w:t>
      </w:r>
      <w:r w:rsidR="00404448">
        <w:t>,” by Don Byrd and Dan Peters (BATC).</w:t>
      </w:r>
    </w:p>
    <w:p w:rsidR="00404448" w:rsidRPr="00D81888" w:rsidRDefault="004A3FBE" w:rsidP="00404448">
      <w:r w:rsidRPr="004A3FBE">
        <w:rPr>
          <w:i/>
        </w:rPr>
        <w:t>KEPLER</w:t>
      </w:r>
      <w:r w:rsidR="00404448" w:rsidRPr="00D81888">
        <w:t xml:space="preserve">.DFM.PHT.003E </w:t>
      </w:r>
      <w:r w:rsidR="00404448">
        <w:t>,”</w:t>
      </w:r>
      <w:r w:rsidR="00404448" w:rsidRPr="00D81888">
        <w:t xml:space="preserve"> Detailed Optical Design and Tolerance Analysis for </w:t>
      </w:r>
      <w:r w:rsidRPr="004A3FBE">
        <w:rPr>
          <w:i/>
        </w:rPr>
        <w:t>Kepler</w:t>
      </w:r>
      <w:r w:rsidR="00404448" w:rsidRPr="00D81888">
        <w:t xml:space="preserve"> Photometer Optical Model</w:t>
      </w:r>
      <w:r w:rsidR="00404448">
        <w:t>,” by Chris Stewart (BATC).</w:t>
      </w:r>
    </w:p>
    <w:p w:rsidR="00404448" w:rsidRPr="004F1799" w:rsidRDefault="004A3FBE" w:rsidP="00404448">
      <w:r w:rsidRPr="004A3FBE">
        <w:rPr>
          <w:i/>
        </w:rPr>
        <w:t>KEPLER</w:t>
      </w:r>
      <w:r w:rsidR="00404448" w:rsidRPr="004F1799">
        <w:t>.DFM.PHT.040</w:t>
      </w:r>
      <w:r w:rsidR="00404448">
        <w:t>,”</w:t>
      </w:r>
      <w:r w:rsidR="00404448" w:rsidRPr="004F1799">
        <w:t xml:space="preserve"> Sub-pixel sampling algorithms and encircled energy calculations</w:t>
      </w:r>
      <w:r w:rsidR="00404448">
        <w:t>,” by Peter Spuhler (BATC)</w:t>
      </w:r>
    </w:p>
    <w:p w:rsidR="00404448" w:rsidRDefault="004A3FBE" w:rsidP="00404448">
      <w:r w:rsidRPr="004A3FBE">
        <w:rPr>
          <w:i/>
        </w:rPr>
        <w:t>KEPLER</w:t>
      </w:r>
      <w:r w:rsidR="00404448" w:rsidRPr="00116E5B">
        <w:t>.DFM.TEL.002</w:t>
      </w:r>
      <w:r w:rsidR="00404448">
        <w:t>, ”</w:t>
      </w:r>
      <w:r w:rsidR="00404448" w:rsidRPr="00116E5B">
        <w:t>Schmidt, FFL, Primary, CCD surface Ghost Analysis</w:t>
      </w:r>
      <w:r w:rsidR="00404448">
        <w:t xml:space="preserve">,” by </w:t>
      </w:r>
      <w:r w:rsidR="00404448" w:rsidRPr="00116E5B">
        <w:t>Zongying Wei</w:t>
      </w:r>
      <w:r w:rsidR="00404448">
        <w:t xml:space="preserve"> (BATC)</w:t>
      </w:r>
    </w:p>
    <w:p w:rsidR="00404448" w:rsidRPr="00116E5B" w:rsidRDefault="004A3FBE" w:rsidP="00404448">
      <w:r w:rsidRPr="004A3FBE">
        <w:rPr>
          <w:i/>
        </w:rPr>
        <w:t>KEPLER</w:t>
      </w:r>
      <w:r w:rsidR="00404448">
        <w:t>.DFM.TEL.029B, “</w:t>
      </w:r>
      <w:r w:rsidR="00404448" w:rsidRPr="00192A10">
        <w:t>Obscuration and Percentage Flux on the FPA</w:t>
      </w:r>
      <w:r w:rsidR="00404448">
        <w:t>,” by Zongying Wei and Chris Stewart (BATC)</w:t>
      </w:r>
    </w:p>
    <w:p w:rsidR="00404448" w:rsidRDefault="004A3FBE" w:rsidP="00404448">
      <w:r w:rsidRPr="004A3FBE">
        <w:rPr>
          <w:i/>
        </w:rPr>
        <w:t>KEPLER</w:t>
      </w:r>
      <w:r w:rsidR="00404448" w:rsidRPr="00352F22">
        <w:t>.SER.FPA.006A</w:t>
      </w:r>
      <w:r w:rsidR="00404448">
        <w:t>, “</w:t>
      </w:r>
      <w:r w:rsidR="00404448" w:rsidRPr="00352F22">
        <w:t>Focal Plane Array CCD Pixel Numbering Scheme</w:t>
      </w:r>
      <w:r w:rsidR="00404448">
        <w:t>,” by Scot McArthur, Jeff Baltrush, and Keith Honea (BATC)</w:t>
      </w:r>
    </w:p>
    <w:p w:rsidR="00404448" w:rsidRDefault="004A3FBE" w:rsidP="00404448">
      <w:r w:rsidRPr="004A3FBE">
        <w:rPr>
          <w:i/>
        </w:rPr>
        <w:t>KEPLER</w:t>
      </w:r>
      <w:r w:rsidR="00404448">
        <w:t>.SER.FPA.020, “</w:t>
      </w:r>
      <w:r w:rsidR="00404448" w:rsidRPr="00684E5F">
        <w:t>FPAA performance report</w:t>
      </w:r>
      <w:r w:rsidR="00404448">
        <w:t>,” by Vic Argabright (BATC)</w:t>
      </w:r>
    </w:p>
    <w:p w:rsidR="00404448" w:rsidRDefault="004A3FBE" w:rsidP="00404448">
      <w:r w:rsidRPr="004A3FBE">
        <w:rPr>
          <w:i/>
        </w:rPr>
        <w:t>KEPLER</w:t>
      </w:r>
      <w:r w:rsidR="00404448">
        <w:t>.SER.SYS.106C, “</w:t>
      </w:r>
      <w:r w:rsidR="00404448" w:rsidRPr="007B3882">
        <w:t>Performance Analysis of the SSTVT</w:t>
      </w:r>
      <w:r w:rsidR="00404448">
        <w:t xml:space="preserve">,” by </w:t>
      </w:r>
      <w:r w:rsidR="00404448" w:rsidRPr="007B3882">
        <w:t xml:space="preserve">Dan Peters, Doug Caldwell, Jon Jenkins, </w:t>
      </w:r>
      <w:r w:rsidR="00404448">
        <w:t xml:space="preserve">and </w:t>
      </w:r>
      <w:r w:rsidR="00404448" w:rsidRPr="007B3882">
        <w:t>James Pullen</w:t>
      </w:r>
      <w:r w:rsidR="00404448">
        <w:t xml:space="preserve"> (BATC)</w:t>
      </w:r>
    </w:p>
    <w:p w:rsidR="00404448" w:rsidRDefault="00404448" w:rsidP="00404448">
      <w:pPr>
        <w:outlineLvl w:val="0"/>
      </w:pPr>
      <w:r w:rsidRPr="005774CF">
        <w:t>KSCI-19032</w:t>
      </w:r>
      <w:r>
        <w:t>, “Instrument Calibration and Characterization Plan,” by Doug Caldwell</w:t>
      </w:r>
    </w:p>
    <w:p w:rsidR="007D4DE2" w:rsidRDefault="00404448" w:rsidP="00404448">
      <w:r w:rsidRPr="001C7867">
        <w:t>SP0039-607</w:t>
      </w:r>
      <w:r>
        <w:t>, “</w:t>
      </w:r>
      <w:r w:rsidR="004A3FBE" w:rsidRPr="004A3FBE">
        <w:rPr>
          <w:i/>
        </w:rPr>
        <w:t>Kepler</w:t>
      </w:r>
      <w:r w:rsidRPr="001C7867">
        <w:t xml:space="preserve"> Mode Description Document</w:t>
      </w:r>
      <w:r>
        <w:t>” (BATC)</w:t>
      </w:r>
    </w:p>
    <w:p w:rsidR="00404448" w:rsidRDefault="00404448" w:rsidP="00404448"/>
    <w:p w:rsidR="00404448" w:rsidRPr="00A5717D" w:rsidRDefault="00404448" w:rsidP="00404448">
      <w:pPr>
        <w:outlineLvl w:val="0"/>
        <w:rPr>
          <w:u w:val="single"/>
        </w:rPr>
      </w:pPr>
      <w:r>
        <w:rPr>
          <w:u w:val="single"/>
        </w:rPr>
        <w:t>Briefings and p</w:t>
      </w:r>
      <w:r w:rsidRPr="00A5717D">
        <w:rPr>
          <w:u w:val="single"/>
        </w:rPr>
        <w:t>rivate communications:</w:t>
      </w:r>
    </w:p>
    <w:p w:rsidR="00404448" w:rsidRDefault="00404448" w:rsidP="00404448">
      <w:r>
        <w:t>Caldwell (2007) -- Doug Caldwell, “Analysis Log 23 Oct 07,” subject matter:  PRNU and bad pixels.</w:t>
      </w:r>
    </w:p>
    <w:p w:rsidR="00404448" w:rsidRDefault="00404448" w:rsidP="00404448">
      <w:r>
        <w:t xml:space="preserve">Cameron (2008) -- </w:t>
      </w:r>
      <w:r w:rsidRPr="0092315C">
        <w:t xml:space="preserve">Bruce Cameron </w:t>
      </w:r>
      <w:r>
        <w:t>(JPL), “</w:t>
      </w:r>
      <w:r w:rsidRPr="0092315C">
        <w:t>Encircled Energy Due Diligence</w:t>
      </w:r>
      <w:r>
        <w:t xml:space="preserve">,” </w:t>
      </w:r>
      <w:r w:rsidRPr="0092315C">
        <w:t xml:space="preserve">23 Jan </w:t>
      </w:r>
      <w:r>
        <w:t>20</w:t>
      </w:r>
      <w:r w:rsidRPr="0092315C">
        <w:t>08</w:t>
      </w:r>
      <w:r w:rsidRPr="0092315C">
        <w:tab/>
      </w:r>
    </w:p>
    <w:p w:rsidR="00404448" w:rsidRDefault="00404448" w:rsidP="00404448">
      <w:r>
        <w:t xml:space="preserve">Dunham (2009) – Ted Dunham (Lowell), “Results of the </w:t>
      </w:r>
      <w:r w:rsidR="004A3FBE" w:rsidRPr="004A3FBE">
        <w:rPr>
          <w:i/>
        </w:rPr>
        <w:t>Kepler</w:t>
      </w:r>
      <w:r w:rsidRPr="006D06E8">
        <w:t xml:space="preserve"> Focus Activity</w:t>
      </w:r>
      <w:r>
        <w:t>,” 23 Apr 2009</w:t>
      </w:r>
    </w:p>
    <w:p w:rsidR="00404448" w:rsidRDefault="00404448" w:rsidP="00404448">
      <w:r>
        <w:t xml:space="preserve">Kolodziejczak (2008) -- Jeff </w:t>
      </w:r>
      <w:r w:rsidRPr="00620AB8">
        <w:t>Kolodziejczak</w:t>
      </w:r>
      <w:r>
        <w:t xml:space="preserve"> (MSFC), “</w:t>
      </w:r>
      <w:r w:rsidRPr="00620AB8">
        <w:t>Moiré Pattern Drift effect on FOV</w:t>
      </w:r>
      <w:r>
        <w:t>,” 5 Dec 2008</w:t>
      </w:r>
    </w:p>
    <w:p w:rsidR="00404448" w:rsidRDefault="00404448" w:rsidP="00404448">
      <w:r>
        <w:t xml:space="preserve">Kolodziejczak (2009a) -- Jeff </w:t>
      </w:r>
      <w:r w:rsidRPr="00620AB8">
        <w:t>Kolodziejczak</w:t>
      </w:r>
      <w:r>
        <w:t xml:space="preserve"> (MSFC), “KACR451(Bonus) FFIs Row-by-Row FFTs of scaled difference images,” 21 Apr 2009</w:t>
      </w:r>
    </w:p>
    <w:p w:rsidR="00404448" w:rsidRDefault="00404448" w:rsidP="00404448">
      <w:r>
        <w:t xml:space="preserve">Kolodziejczak (2009b) -- Jeff </w:t>
      </w:r>
      <w:r w:rsidRPr="00620AB8">
        <w:t>Kolodziejczak</w:t>
      </w:r>
      <w:r>
        <w:t xml:space="preserve"> (MSFC), “Detection of Moiré Patterns in C-043 CDPP LC Collateral Data,” 2 Jun 2009</w:t>
      </w:r>
    </w:p>
    <w:p w:rsidR="00404448" w:rsidRDefault="00404448" w:rsidP="00404448">
      <w:r>
        <w:t>Kolodziejczak (2009c) – Jeff Kolodziejczak (MSFC), “Issues with Linear “Undershoot” Model (Nonlinear components),” 6 May 2009</w:t>
      </w:r>
    </w:p>
    <w:p w:rsidR="00404448" w:rsidRPr="00D21559" w:rsidRDefault="00404448" w:rsidP="00404448"/>
    <w:p w:rsidR="00404448" w:rsidRPr="0092315C" w:rsidRDefault="00404448" w:rsidP="00404448"/>
    <w:sectPr w:rsidR="00404448" w:rsidRPr="0092315C" w:rsidSect="003D37C9">
      <w:headerReference w:type="default" r:id="rId103"/>
      <w:footerReference w:type="default" r:id="rId104"/>
      <w:pgSz w:w="12240" w:h="15840"/>
      <w:pgMar w:top="1440" w:right="1440" w:bottom="1440" w:left="1440" w:gutter="0"/>
    </w:sectPr>
  </w:body>
</w:document>
</file>

<file path=word/endnotes.xml><?xml version="1.0" encoding="utf-8"?>
<w:endnote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C6238" w:rsidRDefault="00FC6238">
      <w:r>
        <w:separator/>
      </w:r>
    </w:p>
  </w:endnote>
  <w:endnote w:type="continuationSeparator" w:id="0">
    <w:p w:rsidR="00FC6238" w:rsidRDefault="00FC6238">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auto"/>
    <w:pitch w:val="variable"/>
    <w:sig w:usb0="00000003" w:usb1="00000000" w:usb2="00000000" w:usb3="00000000" w:csb0="00000001" w:csb1="00000000"/>
  </w:font>
  <w:font w:name="Symbol">
    <w:panose1 w:val="00000000000000000000"/>
    <w:charset w:val="02"/>
    <w:family w:val="auto"/>
    <w:pitch w:val="variable"/>
    <w:sig w:usb0="00000000" w:usb1="00000000" w:usb2="00010000" w:usb3="00000000" w:csb0="80000000"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00000000" w:usb2="00010000" w:usb3="00000000" w:csb0="80000000" w:csb1="00000000"/>
  </w:font>
  <w:font w:name="Arial">
    <w:panose1 w:val="020B0604020202020204"/>
    <w:charset w:val="00"/>
    <w:family w:val="auto"/>
    <w:pitch w:val="variable"/>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Helvetica">
    <w:panose1 w:val="00000000000000000000"/>
    <w:charset w:val="00"/>
    <w:family w:val="auto"/>
    <w:pitch w:val="variable"/>
    <w:sig w:usb0="00000003" w:usb1="00000000" w:usb2="00000000" w:usb3="00000000" w:csb0="00000001" w:csb1="00000000"/>
  </w:font>
  <w:font w:name="Palatino">
    <w:panose1 w:val="00000000000000000000"/>
    <w:charset w:val="00"/>
    <w:family w:val="auto"/>
    <w:pitch w:val="variable"/>
    <w:sig w:usb0="00000003" w:usb1="00000000" w:usb2="00000000" w:usb3="00000000" w:csb0="00000001" w:csb1="00000000"/>
  </w:font>
  <w:font w:name="MS Gothic">
    <w:altName w:val="ＭＳ ゴシック"/>
    <w:panose1 w:val="00000000000000000000"/>
    <w:charset w:val="80"/>
    <w:family w:val="modern"/>
    <w:notTrueType/>
    <w:pitch w:val="fixed"/>
    <w:sig w:usb0="00000001" w:usb1="08070000" w:usb2="00000010" w:usb3="00000000" w:csb0="00020000" w:csb1="00000000"/>
  </w:font>
  <w:font w:name="Lucida Grande">
    <w:panose1 w:val="05000000000000000000"/>
    <w:charset w:val="00"/>
    <w:family w:val="auto"/>
    <w:pitch w:val="variable"/>
    <w:sig w:usb0="00000003" w:usb1="00000000" w:usb2="00000000" w:usb3="00000000" w:csb0="00000001" w:csb1="00000000"/>
  </w:font>
  <w:font w:name="Verdana">
    <w:panose1 w:val="020B0604030504040204"/>
    <w:charset w:val="00"/>
    <w:family w:val="auto"/>
    <w:pitch w:val="variable"/>
    <w:sig w:usb0="00000003" w:usb1="00000000" w:usb2="00000000" w:usb3="00000000" w:csb0="00000001" w:csb1="00000000"/>
  </w:font>
  <w:font w:name="Cambria">
    <w:panose1 w:val="02040503050406030204"/>
    <w:charset w:val="00"/>
    <w:family w:val="auto"/>
    <w:pitch w:val="variable"/>
    <w:sig w:usb0="00000003" w:usb1="00000000" w:usb2="00000000" w:usb3="00000000" w:csb0="00000001" w:csb1="00000000"/>
  </w:font>
  <w:font w:name="ArialMT">
    <w:altName w:val="Arial"/>
    <w:panose1 w:val="00000000000000000000"/>
    <w:charset w:val="4D"/>
    <w:family w:val="swiss"/>
    <w:notTrueType/>
    <w:pitch w:val="default"/>
    <w:sig w:usb0="00000003" w:usb1="00000000" w:usb2="00000000" w:usb3="00000000" w:csb0="00000001" w:csb1="00000000"/>
  </w:font>
  <w:font w:name="Courier">
    <w:panose1 w:val="02000500000000000000"/>
    <w:charset w:val="00"/>
    <w:family w:val="auto"/>
    <w:pitch w:val="variable"/>
    <w:sig w:usb0="00000003" w:usb1="00000000" w:usb2="00000000" w:usb3="00000000" w:csb0="00000001" w:csb1="00000000"/>
  </w:font>
  <w:font w:name="BFDGCB+TimesNewRoman">
    <w:altName w:val="Times New Roman"/>
    <w:panose1 w:val="00000000000000000000"/>
    <w:charset w:val="00"/>
    <w:family w:val="roman"/>
    <w:notTrueType/>
    <w:pitch w:val="default"/>
    <w:sig w:usb0="00000003" w:usb1="00000000" w:usb2="00000000" w:usb3="00000000" w:csb0="00000001" w:csb1="00000000"/>
  </w:font>
  <w:font w:name="BFDGPC+Arial,Bold">
    <w:altName w:val="Arial"/>
    <w:panose1 w:val="00000000000000000000"/>
    <w:charset w:val="00"/>
    <w:family w:val="swiss"/>
    <w:notTrueType/>
    <w:pitch w:val="default"/>
    <w:sig w:usb0="00000003" w:usb1="00000000" w:usb2="00000000" w:usb3="00000000" w:csb0="00000001" w:csb1="00000000"/>
  </w:font>
  <w:font w:name="BFDGFC+TimesNewRoman,Bold">
    <w:altName w:val="Times New Roman"/>
    <w:panose1 w:val="00000000000000000000"/>
    <w:charset w:val="00"/>
    <w:family w:val="roman"/>
    <w:notTrueType/>
    <w:pitch w:val="default"/>
    <w:sig w:usb0="00000003" w:usb1="00000000" w:usb2="00000000" w:usb3="00000000" w:csb0="00000001" w:csb1="00000000"/>
  </w:font>
  <w:font w:name="MS Mincho">
    <w:altName w:val="ＭＳ 明朝"/>
    <w:charset w:val="80"/>
    <w:family w:val="modern"/>
    <w:pitch w:val="fixed"/>
    <w:sig w:usb0="E00002FF" w:usb1="6AC7FDFB" w:usb2="00000012" w:usb3="00000000" w:csb0="0002009F" w:csb1="00000000"/>
  </w:font>
  <w:font w:name="Monaco">
    <w:panose1 w:val="02000500000000000000"/>
    <w:charset w:val="00"/>
    <w:family w:val="auto"/>
    <w:pitch w:val="variable"/>
    <w:sig w:usb0="00000003" w:usb1="00000000" w:usb2="00000000" w:usb3="00000000" w:csb0="00000001" w:csb1="00000000"/>
  </w:font>
  <w:font w:name="Brush Script MT Italic">
    <w:panose1 w:val="03060802040406070304"/>
    <w:charset w:val="00"/>
    <w:family w:val="auto"/>
    <w:pitch w:val="variable"/>
    <w:sig w:usb0="00000003" w:usb1="00000000" w:usb2="00000000" w:usb3="00000000" w:csb0="00000001" w:csb1="00000000"/>
  </w:font>
  <w:font w:name="Georgia">
    <w:panose1 w:val="02040502050405020303"/>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s>
</file>

<file path=word/footer1.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C6238" w:rsidRDefault="004C78B9">
    <w:pPr>
      <w:pStyle w:val="Footer"/>
      <w:jc w:val="right"/>
      <w:rPr>
        <w:rFonts w:ascii="Times" w:hAnsi="Times"/>
      </w:rPr>
    </w:pPr>
    <w:r>
      <w:rPr>
        <w:rStyle w:val="PageNumber"/>
        <w:rFonts w:ascii="Times" w:hAnsi="Times"/>
      </w:rPr>
      <w:fldChar w:fldCharType="begin"/>
    </w:r>
    <w:r w:rsidR="00FC6238">
      <w:rPr>
        <w:rStyle w:val="PageNumber"/>
        <w:rFonts w:ascii="Times" w:hAnsi="Times"/>
      </w:rPr>
      <w:instrText xml:space="preserve"> PAGE </w:instrText>
    </w:r>
    <w:r>
      <w:rPr>
        <w:rStyle w:val="PageNumber"/>
        <w:rFonts w:ascii="Times" w:hAnsi="Times"/>
      </w:rPr>
      <w:fldChar w:fldCharType="separate"/>
    </w:r>
    <w:r w:rsidR="00FC6238">
      <w:rPr>
        <w:rStyle w:val="PageNumber"/>
        <w:rFonts w:ascii="Times" w:hAnsi="Times"/>
        <w:noProof/>
      </w:rPr>
      <w:t>8</w:t>
    </w:r>
    <w:r>
      <w:rPr>
        <w:rStyle w:val="PageNumber"/>
        <w:rFonts w:ascii="Times" w:hAnsi="Times"/>
      </w:rPr>
      <w:fldChar w:fldCharType="end"/>
    </w:r>
    <w:r w:rsidR="00FC6238">
      <w:rPr>
        <w:rStyle w:val="PageNumber"/>
        <w:rFonts w:ascii="Times" w:hAnsi="Times"/>
      </w:rPr>
      <w:t xml:space="preserve"> of </w:t>
    </w:r>
    <w:r>
      <w:rPr>
        <w:rStyle w:val="PageNumber"/>
        <w:rFonts w:ascii="Times" w:hAnsi="Times"/>
      </w:rPr>
      <w:fldChar w:fldCharType="begin"/>
    </w:r>
    <w:r w:rsidR="00FC6238">
      <w:rPr>
        <w:rStyle w:val="PageNumber"/>
        <w:rFonts w:ascii="Times" w:hAnsi="Times"/>
      </w:rPr>
      <w:instrText xml:space="preserve"> NUMPAGES </w:instrText>
    </w:r>
    <w:r>
      <w:rPr>
        <w:rStyle w:val="PageNumber"/>
        <w:rFonts w:ascii="Times" w:hAnsi="Times"/>
      </w:rPr>
      <w:fldChar w:fldCharType="separate"/>
    </w:r>
    <w:r w:rsidR="00FC6238">
      <w:rPr>
        <w:rStyle w:val="PageNumber"/>
        <w:rFonts w:ascii="Times" w:hAnsi="Times"/>
        <w:noProof/>
      </w:rPr>
      <w:t>98</w:t>
    </w:r>
    <w:r>
      <w:rPr>
        <w:rStyle w:val="PageNumber"/>
        <w:rFonts w:ascii="Times" w:hAnsi="Times"/>
      </w:rPr>
      <w:fldChar w:fldCharType="end"/>
    </w:r>
  </w:p>
</w:ftr>
</file>

<file path=word/footer2.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C6238" w:rsidRDefault="004C78B9">
    <w:pPr>
      <w:pStyle w:val="Footer"/>
    </w:pPr>
    <w:r>
      <w:rPr>
        <w:rStyle w:val="PageNumber"/>
      </w:rPr>
      <w:fldChar w:fldCharType="begin"/>
    </w:r>
    <w:r w:rsidR="00FC6238">
      <w:rPr>
        <w:rStyle w:val="PageNumber"/>
      </w:rPr>
      <w:instrText xml:space="preserve"> PAGE </w:instrText>
    </w:r>
    <w:r>
      <w:rPr>
        <w:rStyle w:val="PageNumber"/>
      </w:rPr>
      <w:fldChar w:fldCharType="separate"/>
    </w:r>
    <w:r w:rsidR="002559BD">
      <w:rPr>
        <w:rStyle w:val="PageNumber"/>
        <w:noProof/>
      </w:rPr>
      <w:t>13</w:t>
    </w:r>
    <w:r>
      <w:rPr>
        <w:rStyle w:val="PageNumber"/>
      </w:rPr>
      <w:fldChar w:fldCharType="end"/>
    </w:r>
    <w:r w:rsidR="00FC6238">
      <w:rPr>
        <w:rStyle w:val="PageNumber"/>
      </w:rPr>
      <w:t xml:space="preserve"> of </w:t>
    </w:r>
    <w:r>
      <w:rPr>
        <w:rStyle w:val="PageNumber"/>
      </w:rPr>
      <w:fldChar w:fldCharType="begin"/>
    </w:r>
    <w:r w:rsidR="00FC6238">
      <w:rPr>
        <w:rStyle w:val="PageNumber"/>
      </w:rPr>
      <w:instrText xml:space="preserve"> NUMPAGES </w:instrText>
    </w:r>
    <w:r>
      <w:rPr>
        <w:rStyle w:val="PageNumber"/>
      </w:rPr>
      <w:fldChar w:fldCharType="separate"/>
    </w:r>
    <w:r w:rsidR="002559BD">
      <w:rPr>
        <w:rStyle w:val="PageNumber"/>
        <w:noProof/>
      </w:rPr>
      <w:t>98</w:t>
    </w:r>
    <w:r>
      <w:rPr>
        <w:rStyle w:val="PageNumber"/>
      </w:rPr>
      <w:fldChar w:fldCharType="end"/>
    </w:r>
  </w:p>
</w:ftr>
</file>

<file path=word/footnotes.xml><?xml version="1.0" encoding="utf-8"?>
<w:footnote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C6238" w:rsidRDefault="00FC6238">
      <w:r>
        <w:separator/>
      </w:r>
    </w:p>
  </w:footnote>
  <w:footnote w:type="continuationSeparator" w:id="0">
    <w:p w:rsidR="00FC6238" w:rsidRDefault="00FC6238">
      <w:r>
        <w:continuationSeparator/>
      </w:r>
    </w:p>
  </w:footnote>
</w:footnotes>
</file>

<file path=word/header1.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C6238" w:rsidRDefault="00FC6238">
    <w:pPr>
      <w:pStyle w:val="Header"/>
      <w:spacing w:after="0"/>
      <w:jc w:val="center"/>
      <w:rPr>
        <w:b/>
        <w:color w:val="000000"/>
        <w:sz w:val="32"/>
      </w:rPr>
    </w:pPr>
    <w:r>
      <w:rPr>
        <w:rFonts w:ascii="Times" w:hAnsi="Times"/>
        <w:b/>
        <w:color w:val="000000"/>
        <w:sz w:val="32"/>
      </w:rPr>
      <w:t>DRAFT</w:t>
    </w:r>
  </w:p>
  <w:p w:rsidR="00FC6238" w:rsidRDefault="00FC6238">
    <w:pPr>
      <w:pStyle w:val="Header"/>
      <w:spacing w:after="0"/>
      <w:rPr>
        <w:color w:val="FF0000"/>
      </w:rPr>
    </w:pPr>
  </w:p>
  <w:p w:rsidR="00FC6238" w:rsidRPr="00325024" w:rsidRDefault="00FC6238">
    <w:pPr>
      <w:pStyle w:val="Header"/>
      <w:spacing w:after="0"/>
    </w:pPr>
    <w:r w:rsidRPr="00325024">
      <w:rPr>
        <w:rFonts w:ascii="Times" w:hAnsi="Times"/>
      </w:rPr>
      <w:t>Instrument Char. &amp; Calib. Plan</w:t>
    </w:r>
    <w:r w:rsidRPr="00325024">
      <w:tab/>
    </w:r>
    <w:r w:rsidRPr="00325024">
      <w:tab/>
      <w:t>KSCI-xxxxx</w:t>
    </w:r>
  </w:p>
  <w:p w:rsidR="00FC6238" w:rsidRPr="00325024" w:rsidRDefault="00FC6238">
    <w:pPr>
      <w:pStyle w:val="Header"/>
      <w:tabs>
        <w:tab w:val="clear" w:pos="4320"/>
        <w:tab w:val="clear" w:pos="8640"/>
        <w:tab w:val="left" w:pos="3060"/>
      </w:tabs>
      <w:spacing w:after="0"/>
      <w:jc w:val="right"/>
    </w:pPr>
    <w:r w:rsidRPr="00325024">
      <w:t>9 May 2007</w:t>
    </w:r>
  </w:p>
</w:hdr>
</file>

<file path=word/header2.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C6238" w:rsidRDefault="00FC6238">
    <w:pPr>
      <w:pStyle w:val="Header"/>
      <w:rPr>
        <w:rFonts w:ascii="Georgia" w:hAnsi="Georgia"/>
      </w:rPr>
    </w:pPr>
    <w:r>
      <w:rPr>
        <w:rFonts w:ascii="Georgia" w:hAnsi="Georgia"/>
      </w:rPr>
      <w:t>KSCI-19033:  Kepler Instrument Handbook</w:t>
    </w:r>
    <w:r>
      <w:rPr>
        <w:rFonts w:ascii="Georgia" w:hAnsi="Georgia"/>
      </w:rPr>
      <w:tab/>
      <w:t xml:space="preserve"> </w:t>
    </w:r>
    <w:r>
      <w:rPr>
        <w:rFonts w:ascii="Georgia" w:hAnsi="Georgia"/>
      </w:rPr>
      <w:tab/>
      <w:t>4/22/16</w:t>
    </w:r>
  </w:p>
</w:hdr>
</file>

<file path=word/numbering.xml><?xml version="1.0" encoding="utf-8"?>
<w:numbering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5B4139"/>
    <w:multiLevelType w:val="multilevel"/>
    <w:tmpl w:val="B48E5DD6"/>
    <w:lvl w:ilvl="0">
      <w:start w:val="1"/>
      <w:numFmt w:val="decimal"/>
      <w:pStyle w:val="Appendix"/>
      <w:lvlText w:val="%1."/>
      <w:lvlJc w:val="left"/>
      <w:pPr>
        <w:tabs>
          <w:tab w:val="num" w:pos="432"/>
        </w:tabs>
        <w:ind w:left="432" w:hanging="432"/>
      </w:pPr>
      <w:rPr>
        <w:rFonts w:hint="default"/>
      </w:rPr>
    </w:lvl>
    <w:lvl w:ilvl="1">
      <w:start w:val="1"/>
      <w:numFmt w:val="decimal"/>
      <w:pStyle w:val="Heading2"/>
      <w:lvlText w:val="%1.%2"/>
      <w:lvlJc w:val="left"/>
      <w:pPr>
        <w:tabs>
          <w:tab w:val="num" w:pos="576"/>
        </w:tabs>
        <w:ind w:left="576" w:hanging="576"/>
      </w:pPr>
      <w:rPr>
        <w:rFonts w:hint="default"/>
      </w:rPr>
    </w:lvl>
    <w:lvl w:ilvl="2">
      <w:start w:val="1"/>
      <w:numFmt w:val="decimal"/>
      <w:pStyle w:val="Heading3"/>
      <w:lvlText w:val="%1.%2.%3"/>
      <w:lvlJc w:val="left"/>
      <w:pPr>
        <w:tabs>
          <w:tab w:val="num" w:pos="720"/>
        </w:tabs>
        <w:ind w:left="720" w:hanging="720"/>
      </w:pPr>
      <w:rPr>
        <w:rFonts w:hint="default"/>
      </w:rPr>
    </w:lvl>
    <w:lvl w:ilvl="3">
      <w:start w:val="1"/>
      <w:numFmt w:val="decimal"/>
      <w:pStyle w:val="Heading4"/>
      <w:lvlText w:val="%1.%2.%3.%4"/>
      <w:lvlJc w:val="left"/>
      <w:pPr>
        <w:tabs>
          <w:tab w:val="num" w:pos="864"/>
        </w:tabs>
        <w:ind w:left="864" w:hanging="864"/>
      </w:pPr>
      <w:rPr>
        <w:rFonts w:hint="default"/>
        <w:b/>
      </w:rPr>
    </w:lvl>
    <w:lvl w:ilvl="4">
      <w:start w:val="1"/>
      <w:numFmt w:val="decimal"/>
      <w:pStyle w:val="Heading5"/>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1">
    <w:nsid w:val="044B4E1E"/>
    <w:multiLevelType w:val="hybridMultilevel"/>
    <w:tmpl w:val="0240C56E"/>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nsid w:val="050009A5"/>
    <w:multiLevelType w:val="hybridMultilevel"/>
    <w:tmpl w:val="7FEAAE52"/>
    <w:lvl w:ilvl="0" w:tplc="0409001B">
      <w:start w:val="1"/>
      <w:numFmt w:val="lowerRoman"/>
      <w:lvlText w:val="%1."/>
      <w:lvlJc w:val="right"/>
      <w:pPr>
        <w:tabs>
          <w:tab w:val="num" w:pos="1980"/>
        </w:tabs>
        <w:ind w:left="1980" w:hanging="180"/>
      </w:pPr>
    </w:lvl>
    <w:lvl w:ilvl="1" w:tplc="04090019" w:tentative="1">
      <w:start w:val="1"/>
      <w:numFmt w:val="lowerLetter"/>
      <w:lvlText w:val="%2."/>
      <w:lvlJc w:val="left"/>
      <w:pPr>
        <w:tabs>
          <w:tab w:val="num" w:pos="1260"/>
        </w:tabs>
        <w:ind w:left="1260" w:hanging="360"/>
      </w:pPr>
    </w:lvl>
    <w:lvl w:ilvl="2" w:tplc="0409001B" w:tentative="1">
      <w:start w:val="1"/>
      <w:numFmt w:val="lowerRoman"/>
      <w:lvlText w:val="%3."/>
      <w:lvlJc w:val="right"/>
      <w:pPr>
        <w:tabs>
          <w:tab w:val="num" w:pos="1980"/>
        </w:tabs>
        <w:ind w:left="1980" w:hanging="180"/>
      </w:pPr>
    </w:lvl>
    <w:lvl w:ilvl="3" w:tplc="0409000F" w:tentative="1">
      <w:start w:val="1"/>
      <w:numFmt w:val="decimal"/>
      <w:lvlText w:val="%4."/>
      <w:lvlJc w:val="left"/>
      <w:pPr>
        <w:tabs>
          <w:tab w:val="num" w:pos="2700"/>
        </w:tabs>
        <w:ind w:left="2700" w:hanging="360"/>
      </w:pPr>
    </w:lvl>
    <w:lvl w:ilvl="4" w:tplc="04090019" w:tentative="1">
      <w:start w:val="1"/>
      <w:numFmt w:val="lowerLetter"/>
      <w:lvlText w:val="%5."/>
      <w:lvlJc w:val="left"/>
      <w:pPr>
        <w:tabs>
          <w:tab w:val="num" w:pos="3420"/>
        </w:tabs>
        <w:ind w:left="3420" w:hanging="360"/>
      </w:pPr>
    </w:lvl>
    <w:lvl w:ilvl="5" w:tplc="0409001B" w:tentative="1">
      <w:start w:val="1"/>
      <w:numFmt w:val="lowerRoman"/>
      <w:lvlText w:val="%6."/>
      <w:lvlJc w:val="right"/>
      <w:pPr>
        <w:tabs>
          <w:tab w:val="num" w:pos="4140"/>
        </w:tabs>
        <w:ind w:left="4140" w:hanging="180"/>
      </w:pPr>
    </w:lvl>
    <w:lvl w:ilvl="6" w:tplc="0409000F" w:tentative="1">
      <w:start w:val="1"/>
      <w:numFmt w:val="decimal"/>
      <w:lvlText w:val="%7."/>
      <w:lvlJc w:val="left"/>
      <w:pPr>
        <w:tabs>
          <w:tab w:val="num" w:pos="4860"/>
        </w:tabs>
        <w:ind w:left="4860" w:hanging="360"/>
      </w:pPr>
    </w:lvl>
    <w:lvl w:ilvl="7" w:tplc="04090019" w:tentative="1">
      <w:start w:val="1"/>
      <w:numFmt w:val="lowerLetter"/>
      <w:lvlText w:val="%8."/>
      <w:lvlJc w:val="left"/>
      <w:pPr>
        <w:tabs>
          <w:tab w:val="num" w:pos="5580"/>
        </w:tabs>
        <w:ind w:left="5580" w:hanging="360"/>
      </w:pPr>
    </w:lvl>
    <w:lvl w:ilvl="8" w:tplc="0409001B" w:tentative="1">
      <w:start w:val="1"/>
      <w:numFmt w:val="lowerRoman"/>
      <w:lvlText w:val="%9."/>
      <w:lvlJc w:val="right"/>
      <w:pPr>
        <w:tabs>
          <w:tab w:val="num" w:pos="6300"/>
        </w:tabs>
        <w:ind w:left="6300" w:hanging="180"/>
      </w:pPr>
    </w:lvl>
  </w:abstractNum>
  <w:abstractNum w:abstractNumId="3">
    <w:nsid w:val="09AB1564"/>
    <w:multiLevelType w:val="multilevel"/>
    <w:tmpl w:val="276EED88"/>
    <w:lvl w:ilvl="0">
      <w:start w:val="1"/>
      <w:numFmt w:val="decimal"/>
      <w:lvlText w:val="%1."/>
      <w:lvlJc w:val="left"/>
      <w:pPr>
        <w:tabs>
          <w:tab w:val="num" w:pos="360"/>
        </w:tabs>
        <w:ind w:left="0" w:firstLine="0"/>
      </w:pPr>
    </w:lvl>
    <w:lvl w:ilvl="1">
      <w:start w:val="1"/>
      <w:numFmt w:val="decimal"/>
      <w:lvlText w:val="%1.%2"/>
      <w:lvlJc w:val="left"/>
      <w:pPr>
        <w:tabs>
          <w:tab w:val="num" w:pos="360"/>
        </w:tabs>
        <w:ind w:left="0" w:firstLine="0"/>
      </w:pPr>
    </w:lvl>
    <w:lvl w:ilvl="2">
      <w:start w:val="1"/>
      <w:numFmt w:val="decimal"/>
      <w:lvlText w:val="%1.%2.%3"/>
      <w:lvlJc w:val="left"/>
      <w:pPr>
        <w:tabs>
          <w:tab w:val="num" w:pos="0"/>
        </w:tabs>
        <w:ind w:left="0" w:firstLine="0"/>
      </w:pPr>
    </w:lvl>
    <w:lvl w:ilvl="3">
      <w:start w:val="1"/>
      <w:numFmt w:val="decimal"/>
      <w:lvlText w:val="%1.%2.%3.%4"/>
      <w:lvlJc w:val="left"/>
      <w:pPr>
        <w:tabs>
          <w:tab w:val="num" w:pos="0"/>
        </w:tabs>
        <w:ind w:left="0" w:firstLine="0"/>
      </w:pPr>
    </w:lvl>
    <w:lvl w:ilvl="4">
      <w:start w:val="1"/>
      <w:numFmt w:val="decimal"/>
      <w:lvlText w:val="%1.%2.%3.%4.%5"/>
      <w:lvlJc w:val="left"/>
      <w:pPr>
        <w:tabs>
          <w:tab w:val="num" w:pos="0"/>
        </w:tabs>
        <w:ind w:left="0" w:firstLine="0"/>
      </w:pPr>
    </w:lvl>
    <w:lvl w:ilvl="5">
      <w:start w:val="1"/>
      <w:numFmt w:val="decimal"/>
      <w:lvlText w:val="%1.%2.%3.%4.%5.%6"/>
      <w:lvlJc w:val="left"/>
      <w:pPr>
        <w:tabs>
          <w:tab w:val="num" w:pos="0"/>
        </w:tabs>
        <w:ind w:left="0" w:firstLine="0"/>
      </w:pPr>
    </w:lvl>
    <w:lvl w:ilvl="6">
      <w:start w:val="1"/>
      <w:numFmt w:val="decimal"/>
      <w:lvlText w:val="%1.%2.%3.%4.%5.%6.%7"/>
      <w:lvlJc w:val="left"/>
      <w:pPr>
        <w:tabs>
          <w:tab w:val="num" w:pos="0"/>
        </w:tabs>
        <w:ind w:left="0" w:firstLine="0"/>
      </w:pPr>
    </w:lvl>
    <w:lvl w:ilvl="7">
      <w:start w:val="1"/>
      <w:numFmt w:val="decimal"/>
      <w:lvlText w:val="%1.%2.%3.%4.%5.%6.%7.%8"/>
      <w:lvlJc w:val="left"/>
      <w:pPr>
        <w:tabs>
          <w:tab w:val="num" w:pos="0"/>
        </w:tabs>
        <w:ind w:left="0" w:firstLine="0"/>
      </w:pPr>
    </w:lvl>
    <w:lvl w:ilvl="8">
      <w:start w:val="1"/>
      <w:numFmt w:val="decimal"/>
      <w:lvlText w:val="%1.%2.%3.%4.%5.%6.%7.%8.%9"/>
      <w:lvlJc w:val="left"/>
      <w:pPr>
        <w:tabs>
          <w:tab w:val="num" w:pos="0"/>
        </w:tabs>
        <w:ind w:left="0" w:firstLine="0"/>
      </w:pPr>
    </w:lvl>
  </w:abstractNum>
  <w:abstractNum w:abstractNumId="4">
    <w:nsid w:val="0FE0305B"/>
    <w:multiLevelType w:val="hybridMultilevel"/>
    <w:tmpl w:val="8B5E01FC"/>
    <w:lvl w:ilvl="0" w:tplc="56E0729C">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19">
      <w:start w:val="1"/>
      <w:numFmt w:val="lowerLetter"/>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nsid w:val="119A652E"/>
    <w:multiLevelType w:val="hybridMultilevel"/>
    <w:tmpl w:val="A0508D7E"/>
    <w:lvl w:ilvl="0" w:tplc="2FA08F8E">
      <w:start w:val="1"/>
      <w:numFmt w:val="bullet"/>
      <w:lvlText w:val=""/>
      <w:lvlJc w:val="left"/>
      <w:pPr>
        <w:tabs>
          <w:tab w:val="num" w:pos="720"/>
        </w:tabs>
        <w:ind w:left="720" w:hanging="360"/>
      </w:pPr>
      <w:rPr>
        <w:rFonts w:ascii="Symbol" w:hAnsi="Symbol" w:hint="default"/>
      </w:rPr>
    </w:lvl>
    <w:lvl w:ilvl="1" w:tplc="BD389360" w:tentative="1">
      <w:start w:val="1"/>
      <w:numFmt w:val="bullet"/>
      <w:lvlText w:val="o"/>
      <w:lvlJc w:val="left"/>
      <w:pPr>
        <w:tabs>
          <w:tab w:val="num" w:pos="1440"/>
        </w:tabs>
        <w:ind w:left="1440" w:hanging="360"/>
      </w:pPr>
      <w:rPr>
        <w:rFonts w:ascii="Courier New" w:hAnsi="Courier New" w:hint="default"/>
      </w:rPr>
    </w:lvl>
    <w:lvl w:ilvl="2" w:tplc="5D2835EA" w:tentative="1">
      <w:start w:val="1"/>
      <w:numFmt w:val="bullet"/>
      <w:lvlText w:val=""/>
      <w:lvlJc w:val="left"/>
      <w:pPr>
        <w:tabs>
          <w:tab w:val="num" w:pos="2160"/>
        </w:tabs>
        <w:ind w:left="2160" w:hanging="360"/>
      </w:pPr>
      <w:rPr>
        <w:rFonts w:ascii="Wingdings" w:hAnsi="Wingdings" w:hint="default"/>
      </w:rPr>
    </w:lvl>
    <w:lvl w:ilvl="3" w:tplc="A6D6071A" w:tentative="1">
      <w:start w:val="1"/>
      <w:numFmt w:val="bullet"/>
      <w:lvlText w:val=""/>
      <w:lvlJc w:val="left"/>
      <w:pPr>
        <w:tabs>
          <w:tab w:val="num" w:pos="2880"/>
        </w:tabs>
        <w:ind w:left="2880" w:hanging="360"/>
      </w:pPr>
      <w:rPr>
        <w:rFonts w:ascii="Symbol" w:hAnsi="Symbol" w:hint="default"/>
      </w:rPr>
    </w:lvl>
    <w:lvl w:ilvl="4" w:tplc="CB04FAF8" w:tentative="1">
      <w:start w:val="1"/>
      <w:numFmt w:val="bullet"/>
      <w:lvlText w:val="o"/>
      <w:lvlJc w:val="left"/>
      <w:pPr>
        <w:tabs>
          <w:tab w:val="num" w:pos="3600"/>
        </w:tabs>
        <w:ind w:left="3600" w:hanging="360"/>
      </w:pPr>
      <w:rPr>
        <w:rFonts w:ascii="Courier New" w:hAnsi="Courier New" w:hint="default"/>
      </w:rPr>
    </w:lvl>
    <w:lvl w:ilvl="5" w:tplc="B6BE22FA" w:tentative="1">
      <w:start w:val="1"/>
      <w:numFmt w:val="bullet"/>
      <w:lvlText w:val=""/>
      <w:lvlJc w:val="left"/>
      <w:pPr>
        <w:tabs>
          <w:tab w:val="num" w:pos="4320"/>
        </w:tabs>
        <w:ind w:left="4320" w:hanging="360"/>
      </w:pPr>
      <w:rPr>
        <w:rFonts w:ascii="Wingdings" w:hAnsi="Wingdings" w:hint="default"/>
      </w:rPr>
    </w:lvl>
    <w:lvl w:ilvl="6" w:tplc="3C42422C" w:tentative="1">
      <w:start w:val="1"/>
      <w:numFmt w:val="bullet"/>
      <w:lvlText w:val=""/>
      <w:lvlJc w:val="left"/>
      <w:pPr>
        <w:tabs>
          <w:tab w:val="num" w:pos="5040"/>
        </w:tabs>
        <w:ind w:left="5040" w:hanging="360"/>
      </w:pPr>
      <w:rPr>
        <w:rFonts w:ascii="Symbol" w:hAnsi="Symbol" w:hint="default"/>
      </w:rPr>
    </w:lvl>
    <w:lvl w:ilvl="7" w:tplc="F1FA9132" w:tentative="1">
      <w:start w:val="1"/>
      <w:numFmt w:val="bullet"/>
      <w:lvlText w:val="o"/>
      <w:lvlJc w:val="left"/>
      <w:pPr>
        <w:tabs>
          <w:tab w:val="num" w:pos="5760"/>
        </w:tabs>
        <w:ind w:left="5760" w:hanging="360"/>
      </w:pPr>
      <w:rPr>
        <w:rFonts w:ascii="Courier New" w:hAnsi="Courier New" w:hint="default"/>
      </w:rPr>
    </w:lvl>
    <w:lvl w:ilvl="8" w:tplc="AD0893B6" w:tentative="1">
      <w:start w:val="1"/>
      <w:numFmt w:val="bullet"/>
      <w:lvlText w:val=""/>
      <w:lvlJc w:val="left"/>
      <w:pPr>
        <w:tabs>
          <w:tab w:val="num" w:pos="6480"/>
        </w:tabs>
        <w:ind w:left="6480" w:hanging="360"/>
      </w:pPr>
      <w:rPr>
        <w:rFonts w:ascii="Wingdings" w:hAnsi="Wingdings" w:hint="default"/>
      </w:rPr>
    </w:lvl>
  </w:abstractNum>
  <w:abstractNum w:abstractNumId="6">
    <w:nsid w:val="123946A6"/>
    <w:multiLevelType w:val="hybridMultilevel"/>
    <w:tmpl w:val="0B4A7C82"/>
    <w:lvl w:ilvl="0" w:tplc="0409000F">
      <w:start w:val="1"/>
      <w:numFmt w:val="decimal"/>
      <w:lvlText w:val="%1."/>
      <w:lvlJc w:val="left"/>
      <w:pPr>
        <w:tabs>
          <w:tab w:val="num" w:pos="4320"/>
        </w:tabs>
        <w:ind w:left="43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19">
      <w:start w:val="1"/>
      <w:numFmt w:val="lowerLetter"/>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nsid w:val="166E2B63"/>
    <w:multiLevelType w:val="hybridMultilevel"/>
    <w:tmpl w:val="830860A2"/>
    <w:lvl w:ilvl="0" w:tplc="0409001B">
      <w:start w:val="1"/>
      <w:numFmt w:val="lowerRoman"/>
      <w:lvlText w:val="%1."/>
      <w:lvlJc w:val="right"/>
      <w:pPr>
        <w:tabs>
          <w:tab w:val="num" w:pos="4320"/>
        </w:tabs>
        <w:ind w:left="4320" w:hanging="360"/>
      </w:pPr>
    </w:lvl>
    <w:lvl w:ilvl="1" w:tplc="04090019" w:tentative="1">
      <w:start w:val="1"/>
      <w:numFmt w:val="lowerLetter"/>
      <w:lvlText w:val="%2."/>
      <w:lvlJc w:val="left"/>
      <w:pPr>
        <w:tabs>
          <w:tab w:val="num" w:pos="5040"/>
        </w:tabs>
        <w:ind w:left="5040" w:hanging="360"/>
      </w:pPr>
    </w:lvl>
    <w:lvl w:ilvl="2" w:tplc="0409001B" w:tentative="1">
      <w:start w:val="1"/>
      <w:numFmt w:val="lowerRoman"/>
      <w:lvlText w:val="%3."/>
      <w:lvlJc w:val="right"/>
      <w:pPr>
        <w:tabs>
          <w:tab w:val="num" w:pos="5760"/>
        </w:tabs>
        <w:ind w:left="5760" w:hanging="180"/>
      </w:pPr>
    </w:lvl>
    <w:lvl w:ilvl="3" w:tplc="0409000F" w:tentative="1">
      <w:start w:val="1"/>
      <w:numFmt w:val="decimal"/>
      <w:lvlText w:val="%4."/>
      <w:lvlJc w:val="left"/>
      <w:pPr>
        <w:tabs>
          <w:tab w:val="num" w:pos="6480"/>
        </w:tabs>
        <w:ind w:left="6480" w:hanging="360"/>
      </w:pPr>
    </w:lvl>
    <w:lvl w:ilvl="4" w:tplc="04090019" w:tentative="1">
      <w:start w:val="1"/>
      <w:numFmt w:val="lowerLetter"/>
      <w:lvlText w:val="%5."/>
      <w:lvlJc w:val="left"/>
      <w:pPr>
        <w:tabs>
          <w:tab w:val="num" w:pos="7200"/>
        </w:tabs>
        <w:ind w:left="7200" w:hanging="360"/>
      </w:pPr>
    </w:lvl>
    <w:lvl w:ilvl="5" w:tplc="0409001B" w:tentative="1">
      <w:start w:val="1"/>
      <w:numFmt w:val="lowerRoman"/>
      <w:lvlText w:val="%6."/>
      <w:lvlJc w:val="right"/>
      <w:pPr>
        <w:tabs>
          <w:tab w:val="num" w:pos="7920"/>
        </w:tabs>
        <w:ind w:left="7920" w:hanging="180"/>
      </w:pPr>
    </w:lvl>
    <w:lvl w:ilvl="6" w:tplc="0409000F" w:tentative="1">
      <w:start w:val="1"/>
      <w:numFmt w:val="decimal"/>
      <w:lvlText w:val="%7."/>
      <w:lvlJc w:val="left"/>
      <w:pPr>
        <w:tabs>
          <w:tab w:val="num" w:pos="8640"/>
        </w:tabs>
        <w:ind w:left="8640" w:hanging="360"/>
      </w:pPr>
    </w:lvl>
    <w:lvl w:ilvl="7" w:tplc="04090019" w:tentative="1">
      <w:start w:val="1"/>
      <w:numFmt w:val="lowerLetter"/>
      <w:lvlText w:val="%8."/>
      <w:lvlJc w:val="left"/>
      <w:pPr>
        <w:tabs>
          <w:tab w:val="num" w:pos="9360"/>
        </w:tabs>
        <w:ind w:left="9360" w:hanging="360"/>
      </w:pPr>
    </w:lvl>
    <w:lvl w:ilvl="8" w:tplc="0409001B" w:tentative="1">
      <w:start w:val="1"/>
      <w:numFmt w:val="lowerRoman"/>
      <w:lvlText w:val="%9."/>
      <w:lvlJc w:val="right"/>
      <w:pPr>
        <w:tabs>
          <w:tab w:val="num" w:pos="10080"/>
        </w:tabs>
        <w:ind w:left="10080" w:hanging="180"/>
      </w:pPr>
    </w:lvl>
  </w:abstractNum>
  <w:abstractNum w:abstractNumId="8">
    <w:nsid w:val="1BFF2F5A"/>
    <w:multiLevelType w:val="hybridMultilevel"/>
    <w:tmpl w:val="99F4B6C0"/>
    <w:lvl w:ilvl="0" w:tplc="0409001B">
      <w:start w:val="1"/>
      <w:numFmt w:val="lowerRoman"/>
      <w:lvlText w:val="%1."/>
      <w:lvlJc w:val="righ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9">
    <w:nsid w:val="1CCC6233"/>
    <w:multiLevelType w:val="hybridMultilevel"/>
    <w:tmpl w:val="249E095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nsid w:val="1E932B83"/>
    <w:multiLevelType w:val="hybridMultilevel"/>
    <w:tmpl w:val="F520958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Aria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Aria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Aria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nsid w:val="1FE70A5E"/>
    <w:multiLevelType w:val="hybridMultilevel"/>
    <w:tmpl w:val="3D04460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04B087A"/>
    <w:multiLevelType w:val="singleLevel"/>
    <w:tmpl w:val="EC76FB36"/>
    <w:lvl w:ilvl="0">
      <w:start w:val="1"/>
      <w:numFmt w:val="upperLetter"/>
      <w:lvlText w:val="Appendix %1."/>
      <w:lvlJc w:val="left"/>
      <w:pPr>
        <w:tabs>
          <w:tab w:val="num" w:pos="1800"/>
        </w:tabs>
        <w:ind w:left="360" w:hanging="360"/>
      </w:pPr>
    </w:lvl>
  </w:abstractNum>
  <w:abstractNum w:abstractNumId="13">
    <w:nsid w:val="21A90D3D"/>
    <w:multiLevelType w:val="hybridMultilevel"/>
    <w:tmpl w:val="2CB2F580"/>
    <w:lvl w:ilvl="0" w:tplc="0409001B">
      <w:start w:val="1"/>
      <w:numFmt w:val="lowerRoman"/>
      <w:lvlText w:val="%1."/>
      <w:lvlJc w:val="right"/>
      <w:pPr>
        <w:tabs>
          <w:tab w:val="num" w:pos="900"/>
        </w:tabs>
        <w:ind w:left="900" w:hanging="180"/>
      </w:pPr>
    </w:lvl>
    <w:lvl w:ilvl="1" w:tplc="04090019" w:tentative="1">
      <w:start w:val="1"/>
      <w:numFmt w:val="lowerLetter"/>
      <w:lvlText w:val="%2."/>
      <w:lvlJc w:val="left"/>
      <w:pPr>
        <w:tabs>
          <w:tab w:val="num" w:pos="180"/>
        </w:tabs>
        <w:ind w:left="180" w:hanging="360"/>
      </w:pPr>
    </w:lvl>
    <w:lvl w:ilvl="2" w:tplc="0409001B" w:tentative="1">
      <w:start w:val="1"/>
      <w:numFmt w:val="lowerRoman"/>
      <w:lvlText w:val="%3."/>
      <w:lvlJc w:val="right"/>
      <w:pPr>
        <w:tabs>
          <w:tab w:val="num" w:pos="900"/>
        </w:tabs>
        <w:ind w:left="900" w:hanging="180"/>
      </w:pPr>
    </w:lvl>
    <w:lvl w:ilvl="3" w:tplc="0409000F" w:tentative="1">
      <w:start w:val="1"/>
      <w:numFmt w:val="decimal"/>
      <w:lvlText w:val="%4."/>
      <w:lvlJc w:val="left"/>
      <w:pPr>
        <w:tabs>
          <w:tab w:val="num" w:pos="1620"/>
        </w:tabs>
        <w:ind w:left="1620" w:hanging="360"/>
      </w:pPr>
    </w:lvl>
    <w:lvl w:ilvl="4" w:tplc="04090019" w:tentative="1">
      <w:start w:val="1"/>
      <w:numFmt w:val="lowerLetter"/>
      <w:lvlText w:val="%5."/>
      <w:lvlJc w:val="left"/>
      <w:pPr>
        <w:tabs>
          <w:tab w:val="num" w:pos="2340"/>
        </w:tabs>
        <w:ind w:left="2340" w:hanging="360"/>
      </w:pPr>
    </w:lvl>
    <w:lvl w:ilvl="5" w:tplc="0409001B" w:tentative="1">
      <w:start w:val="1"/>
      <w:numFmt w:val="lowerRoman"/>
      <w:lvlText w:val="%6."/>
      <w:lvlJc w:val="right"/>
      <w:pPr>
        <w:tabs>
          <w:tab w:val="num" w:pos="3060"/>
        </w:tabs>
        <w:ind w:left="3060" w:hanging="180"/>
      </w:pPr>
    </w:lvl>
    <w:lvl w:ilvl="6" w:tplc="0409000F" w:tentative="1">
      <w:start w:val="1"/>
      <w:numFmt w:val="decimal"/>
      <w:lvlText w:val="%7."/>
      <w:lvlJc w:val="left"/>
      <w:pPr>
        <w:tabs>
          <w:tab w:val="num" w:pos="3780"/>
        </w:tabs>
        <w:ind w:left="3780" w:hanging="360"/>
      </w:pPr>
    </w:lvl>
    <w:lvl w:ilvl="7" w:tplc="04090019" w:tentative="1">
      <w:start w:val="1"/>
      <w:numFmt w:val="lowerLetter"/>
      <w:lvlText w:val="%8."/>
      <w:lvlJc w:val="left"/>
      <w:pPr>
        <w:tabs>
          <w:tab w:val="num" w:pos="4500"/>
        </w:tabs>
        <w:ind w:left="4500" w:hanging="360"/>
      </w:pPr>
    </w:lvl>
    <w:lvl w:ilvl="8" w:tplc="0409001B" w:tentative="1">
      <w:start w:val="1"/>
      <w:numFmt w:val="lowerRoman"/>
      <w:lvlText w:val="%9."/>
      <w:lvlJc w:val="right"/>
      <w:pPr>
        <w:tabs>
          <w:tab w:val="num" w:pos="5220"/>
        </w:tabs>
        <w:ind w:left="5220" w:hanging="180"/>
      </w:pPr>
    </w:lvl>
  </w:abstractNum>
  <w:abstractNum w:abstractNumId="14">
    <w:nsid w:val="2B5E5E89"/>
    <w:multiLevelType w:val="hybridMultilevel"/>
    <w:tmpl w:val="F0AC99D8"/>
    <w:lvl w:ilvl="0" w:tplc="0409001B">
      <w:start w:val="1"/>
      <w:numFmt w:val="lowerRoman"/>
      <w:lvlText w:val="%1."/>
      <w:lvlJc w:val="right"/>
      <w:pPr>
        <w:tabs>
          <w:tab w:val="num" w:pos="2160"/>
        </w:tabs>
        <w:ind w:left="2160" w:hanging="360"/>
      </w:pPr>
    </w:lvl>
    <w:lvl w:ilvl="1" w:tplc="04090019">
      <w:start w:val="1"/>
      <w:numFmt w:val="lowerLetter"/>
      <w:lvlText w:val="%2."/>
      <w:lvlJc w:val="left"/>
      <w:pPr>
        <w:tabs>
          <w:tab w:val="num" w:pos="2880"/>
        </w:tabs>
        <w:ind w:left="2880" w:hanging="360"/>
      </w:pPr>
    </w:lvl>
    <w:lvl w:ilvl="2" w:tplc="366061C4">
      <w:start w:val="1"/>
      <w:numFmt w:val="decimal"/>
      <w:lvlText w:val="%3."/>
      <w:lvlJc w:val="left"/>
      <w:pPr>
        <w:tabs>
          <w:tab w:val="num" w:pos="3780"/>
        </w:tabs>
        <w:ind w:left="3780" w:hanging="360"/>
      </w:pPr>
      <w:rPr>
        <w:rFonts w:hint="default"/>
        <w:b w:val="0"/>
      </w:rPr>
    </w:lvl>
    <w:lvl w:ilvl="3" w:tplc="0409000F">
      <w:start w:val="1"/>
      <w:numFmt w:val="decimal"/>
      <w:lvlText w:val="%4."/>
      <w:lvlJc w:val="left"/>
      <w:pPr>
        <w:tabs>
          <w:tab w:val="num" w:pos="4320"/>
        </w:tabs>
        <w:ind w:left="4320" w:hanging="360"/>
      </w:pPr>
    </w:lvl>
    <w:lvl w:ilvl="4" w:tplc="04090019">
      <w:start w:val="1"/>
      <w:numFmt w:val="lowerLetter"/>
      <w:lvlText w:val="%5."/>
      <w:lvlJc w:val="left"/>
      <w:pPr>
        <w:tabs>
          <w:tab w:val="num" w:pos="5040"/>
        </w:tabs>
        <w:ind w:left="5040" w:hanging="360"/>
      </w:pPr>
    </w:lvl>
    <w:lvl w:ilvl="5" w:tplc="0409001B">
      <w:start w:val="1"/>
      <w:numFmt w:val="lowerRoman"/>
      <w:lvlText w:val="%6."/>
      <w:lvlJc w:val="right"/>
      <w:pPr>
        <w:tabs>
          <w:tab w:val="num" w:pos="5760"/>
        </w:tabs>
        <w:ind w:left="5760" w:hanging="180"/>
      </w:pPr>
    </w:lvl>
    <w:lvl w:ilvl="6" w:tplc="0409000F">
      <w:start w:val="1"/>
      <w:numFmt w:val="decimal"/>
      <w:lvlText w:val="%7."/>
      <w:lvlJc w:val="left"/>
      <w:pPr>
        <w:tabs>
          <w:tab w:val="num" w:pos="6480"/>
        </w:tabs>
        <w:ind w:left="6480" w:hanging="360"/>
      </w:pPr>
    </w:lvl>
    <w:lvl w:ilvl="7" w:tplc="04090019">
      <w:start w:val="1"/>
      <w:numFmt w:val="lowerLetter"/>
      <w:lvlText w:val="%8."/>
      <w:lvlJc w:val="left"/>
      <w:pPr>
        <w:tabs>
          <w:tab w:val="num" w:pos="7200"/>
        </w:tabs>
        <w:ind w:left="7200" w:hanging="360"/>
      </w:pPr>
    </w:lvl>
    <w:lvl w:ilvl="8" w:tplc="0409001B">
      <w:start w:val="1"/>
      <w:numFmt w:val="lowerRoman"/>
      <w:lvlText w:val="%9."/>
      <w:lvlJc w:val="right"/>
      <w:pPr>
        <w:tabs>
          <w:tab w:val="num" w:pos="7920"/>
        </w:tabs>
        <w:ind w:left="7920" w:hanging="180"/>
      </w:pPr>
    </w:lvl>
  </w:abstractNum>
  <w:abstractNum w:abstractNumId="15">
    <w:nsid w:val="3091773E"/>
    <w:multiLevelType w:val="hybridMultilevel"/>
    <w:tmpl w:val="B8E0DEFC"/>
    <w:lvl w:ilvl="0" w:tplc="0409001B">
      <w:start w:val="1"/>
      <w:numFmt w:val="lowerRoman"/>
      <w:lvlText w:val="%1."/>
      <w:lvlJc w:val="righ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nsid w:val="33741C12"/>
    <w:multiLevelType w:val="hybridMultilevel"/>
    <w:tmpl w:val="15363896"/>
    <w:lvl w:ilvl="0" w:tplc="0409001B">
      <w:start w:val="1"/>
      <w:numFmt w:val="lowerRoman"/>
      <w:lvlText w:val="%1."/>
      <w:lvlJc w:val="right"/>
      <w:pPr>
        <w:tabs>
          <w:tab w:val="num" w:pos="180"/>
        </w:tabs>
        <w:ind w:left="180" w:hanging="180"/>
      </w:pPr>
    </w:lvl>
    <w:lvl w:ilvl="1" w:tplc="04090019" w:tentative="1">
      <w:start w:val="1"/>
      <w:numFmt w:val="lowerLetter"/>
      <w:lvlText w:val="%2."/>
      <w:lvlJc w:val="left"/>
      <w:pPr>
        <w:tabs>
          <w:tab w:val="num" w:pos="-540"/>
        </w:tabs>
        <w:ind w:left="-540" w:hanging="360"/>
      </w:pPr>
    </w:lvl>
    <w:lvl w:ilvl="2" w:tplc="0409001B" w:tentative="1">
      <w:start w:val="1"/>
      <w:numFmt w:val="lowerRoman"/>
      <w:lvlText w:val="%3."/>
      <w:lvlJc w:val="right"/>
      <w:pPr>
        <w:tabs>
          <w:tab w:val="num" w:pos="180"/>
        </w:tabs>
        <w:ind w:left="180" w:hanging="180"/>
      </w:pPr>
    </w:lvl>
    <w:lvl w:ilvl="3" w:tplc="0409000F" w:tentative="1">
      <w:start w:val="1"/>
      <w:numFmt w:val="decimal"/>
      <w:lvlText w:val="%4."/>
      <w:lvlJc w:val="left"/>
      <w:pPr>
        <w:tabs>
          <w:tab w:val="num" w:pos="900"/>
        </w:tabs>
        <w:ind w:left="900" w:hanging="360"/>
      </w:pPr>
    </w:lvl>
    <w:lvl w:ilvl="4" w:tplc="04090019" w:tentative="1">
      <w:start w:val="1"/>
      <w:numFmt w:val="lowerLetter"/>
      <w:lvlText w:val="%5."/>
      <w:lvlJc w:val="left"/>
      <w:pPr>
        <w:tabs>
          <w:tab w:val="num" w:pos="1620"/>
        </w:tabs>
        <w:ind w:left="1620" w:hanging="360"/>
      </w:pPr>
    </w:lvl>
    <w:lvl w:ilvl="5" w:tplc="0409001B" w:tentative="1">
      <w:start w:val="1"/>
      <w:numFmt w:val="lowerRoman"/>
      <w:lvlText w:val="%6."/>
      <w:lvlJc w:val="right"/>
      <w:pPr>
        <w:tabs>
          <w:tab w:val="num" w:pos="2340"/>
        </w:tabs>
        <w:ind w:left="2340" w:hanging="180"/>
      </w:pPr>
    </w:lvl>
    <w:lvl w:ilvl="6" w:tplc="0409000F" w:tentative="1">
      <w:start w:val="1"/>
      <w:numFmt w:val="decimal"/>
      <w:lvlText w:val="%7."/>
      <w:lvlJc w:val="left"/>
      <w:pPr>
        <w:tabs>
          <w:tab w:val="num" w:pos="3060"/>
        </w:tabs>
        <w:ind w:left="3060" w:hanging="360"/>
      </w:pPr>
    </w:lvl>
    <w:lvl w:ilvl="7" w:tplc="04090019" w:tentative="1">
      <w:start w:val="1"/>
      <w:numFmt w:val="lowerLetter"/>
      <w:lvlText w:val="%8."/>
      <w:lvlJc w:val="left"/>
      <w:pPr>
        <w:tabs>
          <w:tab w:val="num" w:pos="3780"/>
        </w:tabs>
        <w:ind w:left="3780" w:hanging="360"/>
      </w:pPr>
    </w:lvl>
    <w:lvl w:ilvl="8" w:tplc="0409001B" w:tentative="1">
      <w:start w:val="1"/>
      <w:numFmt w:val="lowerRoman"/>
      <w:lvlText w:val="%9."/>
      <w:lvlJc w:val="right"/>
      <w:pPr>
        <w:tabs>
          <w:tab w:val="num" w:pos="4500"/>
        </w:tabs>
        <w:ind w:left="4500" w:hanging="180"/>
      </w:pPr>
    </w:lvl>
  </w:abstractNum>
  <w:abstractNum w:abstractNumId="17">
    <w:nsid w:val="36EF328B"/>
    <w:multiLevelType w:val="hybridMultilevel"/>
    <w:tmpl w:val="725A5D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4301500C"/>
    <w:multiLevelType w:val="hybridMultilevel"/>
    <w:tmpl w:val="478E77F8"/>
    <w:lvl w:ilvl="0" w:tplc="56E0729C">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19">
      <w:start w:val="1"/>
      <w:numFmt w:val="lowerLetter"/>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nsid w:val="46086F5F"/>
    <w:multiLevelType w:val="hybridMultilevel"/>
    <w:tmpl w:val="B8C2648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Aria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Aria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Aria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nsid w:val="48151D42"/>
    <w:multiLevelType w:val="hybridMultilevel"/>
    <w:tmpl w:val="5A725A82"/>
    <w:lvl w:ilvl="0" w:tplc="56E0729C">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19">
      <w:start w:val="1"/>
      <w:numFmt w:val="lowerLetter"/>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
    <w:nsid w:val="4848296C"/>
    <w:multiLevelType w:val="hybridMultilevel"/>
    <w:tmpl w:val="4B125610"/>
    <w:lvl w:ilvl="0" w:tplc="56E0729C">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19">
      <w:start w:val="1"/>
      <w:numFmt w:val="lowerLetter"/>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nsid w:val="49BA2C5B"/>
    <w:multiLevelType w:val="hybridMultilevel"/>
    <w:tmpl w:val="4DE81E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A2F2812"/>
    <w:multiLevelType w:val="hybridMultilevel"/>
    <w:tmpl w:val="C4800D76"/>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2160"/>
        </w:tabs>
        <w:ind w:left="-2160" w:hanging="360"/>
      </w:pPr>
    </w:lvl>
    <w:lvl w:ilvl="2" w:tplc="0409001B">
      <w:start w:val="1"/>
      <w:numFmt w:val="lowerRoman"/>
      <w:lvlText w:val="%3."/>
      <w:lvlJc w:val="right"/>
      <w:pPr>
        <w:tabs>
          <w:tab w:val="num" w:pos="-1440"/>
        </w:tabs>
        <w:ind w:left="-1440" w:hanging="180"/>
      </w:pPr>
    </w:lvl>
    <w:lvl w:ilvl="3" w:tplc="0409000F">
      <w:start w:val="1"/>
      <w:numFmt w:val="decimal"/>
      <w:lvlText w:val="%4."/>
      <w:lvlJc w:val="left"/>
      <w:pPr>
        <w:tabs>
          <w:tab w:val="num" w:pos="-720"/>
        </w:tabs>
        <w:ind w:left="-720" w:hanging="360"/>
      </w:pPr>
    </w:lvl>
    <w:lvl w:ilvl="4" w:tplc="04090019">
      <w:start w:val="1"/>
      <w:numFmt w:val="lowerLetter"/>
      <w:lvlText w:val="%5."/>
      <w:lvlJc w:val="left"/>
      <w:pPr>
        <w:tabs>
          <w:tab w:val="num" w:pos="0"/>
        </w:tabs>
        <w:ind w:left="0" w:hanging="360"/>
      </w:pPr>
    </w:lvl>
    <w:lvl w:ilvl="5" w:tplc="0409001B">
      <w:start w:val="1"/>
      <w:numFmt w:val="lowerRoman"/>
      <w:lvlText w:val="%6."/>
      <w:lvlJc w:val="right"/>
      <w:pPr>
        <w:tabs>
          <w:tab w:val="num" w:pos="720"/>
        </w:tabs>
        <w:ind w:left="720" w:hanging="180"/>
      </w:pPr>
    </w:lvl>
    <w:lvl w:ilvl="6" w:tplc="0409000F">
      <w:start w:val="1"/>
      <w:numFmt w:val="decimal"/>
      <w:lvlText w:val="%7."/>
      <w:lvlJc w:val="left"/>
      <w:pPr>
        <w:tabs>
          <w:tab w:val="num" w:pos="1440"/>
        </w:tabs>
        <w:ind w:left="1440" w:hanging="360"/>
      </w:pPr>
    </w:lvl>
    <w:lvl w:ilvl="7" w:tplc="04090019">
      <w:start w:val="1"/>
      <w:numFmt w:val="lowerLetter"/>
      <w:lvlText w:val="%8."/>
      <w:lvlJc w:val="left"/>
      <w:pPr>
        <w:tabs>
          <w:tab w:val="num" w:pos="2160"/>
        </w:tabs>
        <w:ind w:left="2160" w:hanging="360"/>
      </w:pPr>
    </w:lvl>
    <w:lvl w:ilvl="8" w:tplc="0409001B" w:tentative="1">
      <w:start w:val="1"/>
      <w:numFmt w:val="lowerRoman"/>
      <w:lvlText w:val="%9."/>
      <w:lvlJc w:val="right"/>
      <w:pPr>
        <w:tabs>
          <w:tab w:val="num" w:pos="2880"/>
        </w:tabs>
        <w:ind w:left="2880" w:hanging="180"/>
      </w:pPr>
    </w:lvl>
  </w:abstractNum>
  <w:abstractNum w:abstractNumId="24">
    <w:nsid w:val="4A5F54AD"/>
    <w:multiLevelType w:val="hybridMultilevel"/>
    <w:tmpl w:val="66ECD7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A9A313F"/>
    <w:multiLevelType w:val="hybridMultilevel"/>
    <w:tmpl w:val="FB92C3C4"/>
    <w:lvl w:ilvl="0" w:tplc="04090011">
      <w:start w:val="1"/>
      <w:numFmt w:val="decimal"/>
      <w:lvlText w:val="%1)"/>
      <w:lvlJc w:val="left"/>
      <w:pPr>
        <w:tabs>
          <w:tab w:val="num" w:pos="720"/>
        </w:tabs>
        <w:ind w:left="720" w:hanging="360"/>
      </w:pPr>
      <w:rPr>
        <w:rFonts w:hint="default"/>
      </w:rPr>
    </w:lvl>
    <w:lvl w:ilvl="1" w:tplc="04090003" w:tentative="1">
      <w:start w:val="1"/>
      <w:numFmt w:val="bullet"/>
      <w:lvlText w:val="o"/>
      <w:lvlJc w:val="left"/>
      <w:pPr>
        <w:tabs>
          <w:tab w:val="num" w:pos="1440"/>
        </w:tabs>
        <w:ind w:left="1440" w:hanging="360"/>
      </w:pPr>
      <w:rPr>
        <w:rFonts w:ascii="Courier New" w:hAnsi="Courier New" w:cs="Aria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Aria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Aria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nsid w:val="4CCB43C3"/>
    <w:multiLevelType w:val="hybridMultilevel"/>
    <w:tmpl w:val="B55624C2"/>
    <w:lvl w:ilvl="0" w:tplc="04090019">
      <w:start w:val="1"/>
      <w:numFmt w:val="lowerLetter"/>
      <w:lvlText w:val="%1."/>
      <w:lvlJc w:val="left"/>
      <w:pPr>
        <w:tabs>
          <w:tab w:val="num" w:pos="1080"/>
        </w:tabs>
        <w:ind w:left="1080" w:hanging="360"/>
      </w:pPr>
    </w:lvl>
    <w:lvl w:ilvl="1" w:tplc="04090019">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7">
    <w:nsid w:val="4D3948FA"/>
    <w:multiLevelType w:val="hybridMultilevel"/>
    <w:tmpl w:val="A8C878E8"/>
    <w:lvl w:ilvl="0" w:tplc="0409001B">
      <w:start w:val="1"/>
      <w:numFmt w:val="lowerRoman"/>
      <w:lvlText w:val="%1."/>
      <w:lvlJc w:val="right"/>
      <w:pPr>
        <w:tabs>
          <w:tab w:val="num" w:pos="1800"/>
        </w:tabs>
        <w:ind w:left="1800" w:hanging="18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8">
    <w:nsid w:val="4EC516B7"/>
    <w:multiLevelType w:val="hybridMultilevel"/>
    <w:tmpl w:val="58D680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529863FA"/>
    <w:multiLevelType w:val="hybridMultilevel"/>
    <w:tmpl w:val="1F22C346"/>
    <w:lvl w:ilvl="0" w:tplc="01C426AC">
      <w:start w:val="1"/>
      <w:numFmt w:val="bullet"/>
      <w:lvlText w:val=""/>
      <w:lvlJc w:val="left"/>
      <w:pPr>
        <w:tabs>
          <w:tab w:val="num" w:pos="720"/>
        </w:tabs>
        <w:ind w:left="720" w:hanging="360"/>
      </w:pPr>
      <w:rPr>
        <w:rFonts w:ascii="Symbol" w:eastAsia="Times New Roman" w:hAnsi="Symbol" w:hint="default"/>
        <w:w w:val="0"/>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30">
    <w:nsid w:val="5781375C"/>
    <w:multiLevelType w:val="hybridMultilevel"/>
    <w:tmpl w:val="A552CC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90D18B4"/>
    <w:multiLevelType w:val="hybridMultilevel"/>
    <w:tmpl w:val="CF849DCA"/>
    <w:lvl w:ilvl="0" w:tplc="0409000F">
      <w:start w:val="1"/>
      <w:numFmt w:val="decimal"/>
      <w:lvlText w:val="%1."/>
      <w:lvlJc w:val="left"/>
      <w:pPr>
        <w:tabs>
          <w:tab w:val="num" w:pos="4320"/>
        </w:tabs>
        <w:ind w:left="43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2">
    <w:nsid w:val="5CAE4CCA"/>
    <w:multiLevelType w:val="multilevel"/>
    <w:tmpl w:val="8D7EB8F4"/>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3">
    <w:nsid w:val="5DD32FFA"/>
    <w:multiLevelType w:val="hybridMultilevel"/>
    <w:tmpl w:val="9C6428AE"/>
    <w:lvl w:ilvl="0" w:tplc="000F0409">
      <w:start w:val="1"/>
      <w:numFmt w:val="decimal"/>
      <w:lvlText w:val="%1."/>
      <w:lvlJc w:val="left"/>
      <w:pPr>
        <w:tabs>
          <w:tab w:val="num" w:pos="360"/>
        </w:tabs>
        <w:ind w:left="360" w:hanging="360"/>
      </w:pPr>
    </w:lvl>
    <w:lvl w:ilvl="1" w:tplc="00190409" w:tentative="1">
      <w:start w:val="1"/>
      <w:numFmt w:val="lowerLetter"/>
      <w:lvlText w:val="%2."/>
      <w:lvlJc w:val="left"/>
      <w:pPr>
        <w:tabs>
          <w:tab w:val="num" w:pos="1080"/>
        </w:tabs>
        <w:ind w:left="1080" w:hanging="360"/>
      </w:pPr>
    </w:lvl>
    <w:lvl w:ilvl="2" w:tplc="001B0409" w:tentative="1">
      <w:start w:val="1"/>
      <w:numFmt w:val="lowerRoman"/>
      <w:lvlText w:val="%3."/>
      <w:lvlJc w:val="right"/>
      <w:pPr>
        <w:tabs>
          <w:tab w:val="num" w:pos="1800"/>
        </w:tabs>
        <w:ind w:left="1800" w:hanging="180"/>
      </w:pPr>
    </w:lvl>
    <w:lvl w:ilvl="3" w:tplc="000F0409" w:tentative="1">
      <w:start w:val="1"/>
      <w:numFmt w:val="decimal"/>
      <w:lvlText w:val="%4."/>
      <w:lvlJc w:val="left"/>
      <w:pPr>
        <w:tabs>
          <w:tab w:val="num" w:pos="2520"/>
        </w:tabs>
        <w:ind w:left="2520" w:hanging="360"/>
      </w:pPr>
    </w:lvl>
    <w:lvl w:ilvl="4" w:tplc="00190409" w:tentative="1">
      <w:start w:val="1"/>
      <w:numFmt w:val="lowerLetter"/>
      <w:lvlText w:val="%5."/>
      <w:lvlJc w:val="left"/>
      <w:pPr>
        <w:tabs>
          <w:tab w:val="num" w:pos="3240"/>
        </w:tabs>
        <w:ind w:left="3240" w:hanging="360"/>
      </w:pPr>
    </w:lvl>
    <w:lvl w:ilvl="5" w:tplc="001B0409" w:tentative="1">
      <w:start w:val="1"/>
      <w:numFmt w:val="lowerRoman"/>
      <w:lvlText w:val="%6."/>
      <w:lvlJc w:val="right"/>
      <w:pPr>
        <w:tabs>
          <w:tab w:val="num" w:pos="3960"/>
        </w:tabs>
        <w:ind w:left="3960" w:hanging="180"/>
      </w:pPr>
    </w:lvl>
    <w:lvl w:ilvl="6" w:tplc="000F0409" w:tentative="1">
      <w:start w:val="1"/>
      <w:numFmt w:val="decimal"/>
      <w:lvlText w:val="%7."/>
      <w:lvlJc w:val="left"/>
      <w:pPr>
        <w:tabs>
          <w:tab w:val="num" w:pos="4680"/>
        </w:tabs>
        <w:ind w:left="4680" w:hanging="360"/>
      </w:pPr>
    </w:lvl>
    <w:lvl w:ilvl="7" w:tplc="00190409" w:tentative="1">
      <w:start w:val="1"/>
      <w:numFmt w:val="lowerLetter"/>
      <w:lvlText w:val="%8."/>
      <w:lvlJc w:val="left"/>
      <w:pPr>
        <w:tabs>
          <w:tab w:val="num" w:pos="5400"/>
        </w:tabs>
        <w:ind w:left="5400" w:hanging="360"/>
      </w:pPr>
    </w:lvl>
    <w:lvl w:ilvl="8" w:tplc="001B0409" w:tentative="1">
      <w:start w:val="1"/>
      <w:numFmt w:val="lowerRoman"/>
      <w:lvlText w:val="%9."/>
      <w:lvlJc w:val="right"/>
      <w:pPr>
        <w:tabs>
          <w:tab w:val="num" w:pos="6120"/>
        </w:tabs>
        <w:ind w:left="6120" w:hanging="180"/>
      </w:pPr>
    </w:lvl>
  </w:abstractNum>
  <w:abstractNum w:abstractNumId="34">
    <w:nsid w:val="65CB6AD4"/>
    <w:multiLevelType w:val="hybridMultilevel"/>
    <w:tmpl w:val="5E2AE1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668F3968"/>
    <w:multiLevelType w:val="hybridMultilevel"/>
    <w:tmpl w:val="315260C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683A58BF"/>
    <w:multiLevelType w:val="hybridMultilevel"/>
    <w:tmpl w:val="D95E7DCE"/>
    <w:lvl w:ilvl="0" w:tplc="04090019">
      <w:start w:val="1"/>
      <w:numFmt w:val="lowerLetter"/>
      <w:lvlText w:val="%1."/>
      <w:lvlJc w:val="left"/>
      <w:pPr>
        <w:tabs>
          <w:tab w:val="num" w:pos="1440"/>
        </w:tabs>
        <w:ind w:left="144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7">
    <w:nsid w:val="6C892350"/>
    <w:multiLevelType w:val="multilevel"/>
    <w:tmpl w:val="1F8CBA94"/>
    <w:lvl w:ilvl="0">
      <w:start w:val="1"/>
      <w:numFmt w:val="decimal"/>
      <w:lvlText w:val="%1"/>
      <w:lvlJc w:val="left"/>
      <w:pPr>
        <w:tabs>
          <w:tab w:val="num" w:pos="360"/>
        </w:tabs>
        <w:ind w:left="360" w:hanging="360"/>
      </w:pPr>
    </w:lvl>
    <w:lvl w:ilvl="1">
      <w:start w:val="1"/>
      <w:numFmt w:val="decimal"/>
      <w:lvlText w:val="%1.%2"/>
      <w:lvlJc w:val="left"/>
      <w:pPr>
        <w:tabs>
          <w:tab w:val="num" w:pos="720"/>
        </w:tabs>
        <w:ind w:left="720" w:hanging="360"/>
      </w:pPr>
    </w:lvl>
    <w:lvl w:ilvl="2">
      <w:start w:val="1"/>
      <w:numFmt w:val="decimal"/>
      <w:lvlText w:val="%1.%2.%3"/>
      <w:lvlJc w:val="left"/>
      <w:pPr>
        <w:tabs>
          <w:tab w:val="num" w:pos="1440"/>
        </w:tabs>
        <w:ind w:left="1080" w:hanging="360"/>
      </w:pPr>
    </w:lvl>
    <w:lvl w:ilvl="3">
      <w:start w:val="1"/>
      <w:numFmt w:val="decimal"/>
      <w:lvlText w:val="%1.%2.%3.%4"/>
      <w:lvlJc w:val="left"/>
      <w:pPr>
        <w:tabs>
          <w:tab w:val="num" w:pos="1800"/>
        </w:tabs>
        <w:ind w:left="1440" w:hanging="360"/>
      </w:pPr>
    </w:lvl>
    <w:lvl w:ilvl="4">
      <w:start w:val="1"/>
      <w:numFmt w:val="decimal"/>
      <w:lvlText w:val="%1.%2.%3.%4.%5"/>
      <w:lvlJc w:val="left"/>
      <w:pPr>
        <w:tabs>
          <w:tab w:val="num" w:pos="2520"/>
        </w:tabs>
        <w:ind w:left="1800" w:hanging="360"/>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38">
    <w:nsid w:val="6DC30F50"/>
    <w:multiLevelType w:val="hybridMultilevel"/>
    <w:tmpl w:val="D938D89C"/>
    <w:lvl w:ilvl="0" w:tplc="04090011">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9">
    <w:nsid w:val="6E4D5BE1"/>
    <w:multiLevelType w:val="hybridMultilevel"/>
    <w:tmpl w:val="19122336"/>
    <w:lvl w:ilvl="0" w:tplc="56E0729C">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0">
    <w:nsid w:val="70345AD1"/>
    <w:multiLevelType w:val="hybridMultilevel"/>
    <w:tmpl w:val="78E2DF16"/>
    <w:lvl w:ilvl="0" w:tplc="9EDCF4D0">
      <w:start w:val="1"/>
      <w:numFmt w:val="bullet"/>
      <w:lvlText w:val=""/>
      <w:lvlJc w:val="left"/>
      <w:pPr>
        <w:tabs>
          <w:tab w:val="num" w:pos="720"/>
        </w:tabs>
        <w:ind w:left="720" w:hanging="360"/>
      </w:pPr>
      <w:rPr>
        <w:rFonts w:ascii="Symbol" w:hAnsi="Symbol" w:hint="default"/>
      </w:rPr>
    </w:lvl>
    <w:lvl w:ilvl="1" w:tplc="724E8536" w:tentative="1">
      <w:start w:val="1"/>
      <w:numFmt w:val="bullet"/>
      <w:lvlText w:val="o"/>
      <w:lvlJc w:val="left"/>
      <w:pPr>
        <w:tabs>
          <w:tab w:val="num" w:pos="1440"/>
        </w:tabs>
        <w:ind w:left="1440" w:hanging="360"/>
      </w:pPr>
      <w:rPr>
        <w:rFonts w:ascii="Courier New" w:hAnsi="Courier New" w:hint="default"/>
      </w:rPr>
    </w:lvl>
    <w:lvl w:ilvl="2" w:tplc="D71ABC7E" w:tentative="1">
      <w:start w:val="1"/>
      <w:numFmt w:val="bullet"/>
      <w:lvlText w:val=""/>
      <w:lvlJc w:val="left"/>
      <w:pPr>
        <w:tabs>
          <w:tab w:val="num" w:pos="2160"/>
        </w:tabs>
        <w:ind w:left="2160" w:hanging="360"/>
      </w:pPr>
      <w:rPr>
        <w:rFonts w:ascii="Wingdings" w:hAnsi="Wingdings" w:hint="default"/>
      </w:rPr>
    </w:lvl>
    <w:lvl w:ilvl="3" w:tplc="C130FD4E" w:tentative="1">
      <w:start w:val="1"/>
      <w:numFmt w:val="bullet"/>
      <w:lvlText w:val=""/>
      <w:lvlJc w:val="left"/>
      <w:pPr>
        <w:tabs>
          <w:tab w:val="num" w:pos="2880"/>
        </w:tabs>
        <w:ind w:left="2880" w:hanging="360"/>
      </w:pPr>
      <w:rPr>
        <w:rFonts w:ascii="Symbol" w:hAnsi="Symbol" w:hint="default"/>
      </w:rPr>
    </w:lvl>
    <w:lvl w:ilvl="4" w:tplc="379E3B38" w:tentative="1">
      <w:start w:val="1"/>
      <w:numFmt w:val="bullet"/>
      <w:lvlText w:val="o"/>
      <w:lvlJc w:val="left"/>
      <w:pPr>
        <w:tabs>
          <w:tab w:val="num" w:pos="3600"/>
        </w:tabs>
        <w:ind w:left="3600" w:hanging="360"/>
      </w:pPr>
      <w:rPr>
        <w:rFonts w:ascii="Courier New" w:hAnsi="Courier New" w:hint="default"/>
      </w:rPr>
    </w:lvl>
    <w:lvl w:ilvl="5" w:tplc="4CF014A2" w:tentative="1">
      <w:start w:val="1"/>
      <w:numFmt w:val="bullet"/>
      <w:lvlText w:val=""/>
      <w:lvlJc w:val="left"/>
      <w:pPr>
        <w:tabs>
          <w:tab w:val="num" w:pos="4320"/>
        </w:tabs>
        <w:ind w:left="4320" w:hanging="360"/>
      </w:pPr>
      <w:rPr>
        <w:rFonts w:ascii="Wingdings" w:hAnsi="Wingdings" w:hint="default"/>
      </w:rPr>
    </w:lvl>
    <w:lvl w:ilvl="6" w:tplc="F44CC0D0" w:tentative="1">
      <w:start w:val="1"/>
      <w:numFmt w:val="bullet"/>
      <w:lvlText w:val=""/>
      <w:lvlJc w:val="left"/>
      <w:pPr>
        <w:tabs>
          <w:tab w:val="num" w:pos="5040"/>
        </w:tabs>
        <w:ind w:left="5040" w:hanging="360"/>
      </w:pPr>
      <w:rPr>
        <w:rFonts w:ascii="Symbol" w:hAnsi="Symbol" w:hint="default"/>
      </w:rPr>
    </w:lvl>
    <w:lvl w:ilvl="7" w:tplc="5ED6ABF4" w:tentative="1">
      <w:start w:val="1"/>
      <w:numFmt w:val="bullet"/>
      <w:lvlText w:val="o"/>
      <w:lvlJc w:val="left"/>
      <w:pPr>
        <w:tabs>
          <w:tab w:val="num" w:pos="5760"/>
        </w:tabs>
        <w:ind w:left="5760" w:hanging="360"/>
      </w:pPr>
      <w:rPr>
        <w:rFonts w:ascii="Courier New" w:hAnsi="Courier New" w:hint="default"/>
      </w:rPr>
    </w:lvl>
    <w:lvl w:ilvl="8" w:tplc="1952B4B4" w:tentative="1">
      <w:start w:val="1"/>
      <w:numFmt w:val="bullet"/>
      <w:lvlText w:val=""/>
      <w:lvlJc w:val="left"/>
      <w:pPr>
        <w:tabs>
          <w:tab w:val="num" w:pos="6480"/>
        </w:tabs>
        <w:ind w:left="6480" w:hanging="360"/>
      </w:pPr>
      <w:rPr>
        <w:rFonts w:ascii="Wingdings" w:hAnsi="Wingdings" w:hint="default"/>
      </w:rPr>
    </w:lvl>
  </w:abstractNum>
  <w:abstractNum w:abstractNumId="41">
    <w:nsid w:val="70DD0D14"/>
    <w:multiLevelType w:val="hybridMultilevel"/>
    <w:tmpl w:val="F622004A"/>
    <w:lvl w:ilvl="0" w:tplc="04090019">
      <w:start w:val="1"/>
      <w:numFmt w:val="lowerLetter"/>
      <w:lvlText w:val="%1."/>
      <w:lvlJc w:val="left"/>
      <w:pPr>
        <w:tabs>
          <w:tab w:val="num" w:pos="2520"/>
        </w:tabs>
        <w:ind w:left="2520" w:hanging="360"/>
      </w:p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42">
    <w:nsid w:val="71727526"/>
    <w:multiLevelType w:val="hybridMultilevel"/>
    <w:tmpl w:val="08B4621E"/>
    <w:lvl w:ilvl="0" w:tplc="9B708B5C">
      <w:start w:val="1"/>
      <w:numFmt w:val="bullet"/>
      <w:lvlText w:val=""/>
      <w:lvlJc w:val="left"/>
      <w:pPr>
        <w:tabs>
          <w:tab w:val="num" w:pos="720"/>
        </w:tabs>
        <w:ind w:left="720" w:hanging="360"/>
      </w:pPr>
      <w:rPr>
        <w:rFonts w:ascii="Symbol" w:hAnsi="Symbol" w:hint="default"/>
      </w:rPr>
    </w:lvl>
    <w:lvl w:ilvl="1" w:tplc="C65C5B0C" w:tentative="1">
      <w:start w:val="1"/>
      <w:numFmt w:val="bullet"/>
      <w:lvlText w:val="o"/>
      <w:lvlJc w:val="left"/>
      <w:pPr>
        <w:tabs>
          <w:tab w:val="num" w:pos="1440"/>
        </w:tabs>
        <w:ind w:left="1440" w:hanging="360"/>
      </w:pPr>
      <w:rPr>
        <w:rFonts w:ascii="Courier New" w:hAnsi="Courier New" w:hint="default"/>
      </w:rPr>
    </w:lvl>
    <w:lvl w:ilvl="2" w:tplc="71228074" w:tentative="1">
      <w:start w:val="1"/>
      <w:numFmt w:val="bullet"/>
      <w:lvlText w:val=""/>
      <w:lvlJc w:val="left"/>
      <w:pPr>
        <w:tabs>
          <w:tab w:val="num" w:pos="2160"/>
        </w:tabs>
        <w:ind w:left="2160" w:hanging="360"/>
      </w:pPr>
      <w:rPr>
        <w:rFonts w:ascii="Wingdings" w:hAnsi="Wingdings" w:hint="default"/>
      </w:rPr>
    </w:lvl>
    <w:lvl w:ilvl="3" w:tplc="4790CDC2" w:tentative="1">
      <w:start w:val="1"/>
      <w:numFmt w:val="bullet"/>
      <w:lvlText w:val=""/>
      <w:lvlJc w:val="left"/>
      <w:pPr>
        <w:tabs>
          <w:tab w:val="num" w:pos="2880"/>
        </w:tabs>
        <w:ind w:left="2880" w:hanging="360"/>
      </w:pPr>
      <w:rPr>
        <w:rFonts w:ascii="Symbol" w:hAnsi="Symbol" w:hint="default"/>
      </w:rPr>
    </w:lvl>
    <w:lvl w:ilvl="4" w:tplc="173E2CC0" w:tentative="1">
      <w:start w:val="1"/>
      <w:numFmt w:val="bullet"/>
      <w:lvlText w:val="o"/>
      <w:lvlJc w:val="left"/>
      <w:pPr>
        <w:tabs>
          <w:tab w:val="num" w:pos="3600"/>
        </w:tabs>
        <w:ind w:left="3600" w:hanging="360"/>
      </w:pPr>
      <w:rPr>
        <w:rFonts w:ascii="Courier New" w:hAnsi="Courier New" w:hint="default"/>
      </w:rPr>
    </w:lvl>
    <w:lvl w:ilvl="5" w:tplc="4E186CBA" w:tentative="1">
      <w:start w:val="1"/>
      <w:numFmt w:val="bullet"/>
      <w:lvlText w:val=""/>
      <w:lvlJc w:val="left"/>
      <w:pPr>
        <w:tabs>
          <w:tab w:val="num" w:pos="4320"/>
        </w:tabs>
        <w:ind w:left="4320" w:hanging="360"/>
      </w:pPr>
      <w:rPr>
        <w:rFonts w:ascii="Wingdings" w:hAnsi="Wingdings" w:hint="default"/>
      </w:rPr>
    </w:lvl>
    <w:lvl w:ilvl="6" w:tplc="B9D8131A" w:tentative="1">
      <w:start w:val="1"/>
      <w:numFmt w:val="bullet"/>
      <w:lvlText w:val=""/>
      <w:lvlJc w:val="left"/>
      <w:pPr>
        <w:tabs>
          <w:tab w:val="num" w:pos="5040"/>
        </w:tabs>
        <w:ind w:left="5040" w:hanging="360"/>
      </w:pPr>
      <w:rPr>
        <w:rFonts w:ascii="Symbol" w:hAnsi="Symbol" w:hint="default"/>
      </w:rPr>
    </w:lvl>
    <w:lvl w:ilvl="7" w:tplc="488696E4" w:tentative="1">
      <w:start w:val="1"/>
      <w:numFmt w:val="bullet"/>
      <w:lvlText w:val="o"/>
      <w:lvlJc w:val="left"/>
      <w:pPr>
        <w:tabs>
          <w:tab w:val="num" w:pos="5760"/>
        </w:tabs>
        <w:ind w:left="5760" w:hanging="360"/>
      </w:pPr>
      <w:rPr>
        <w:rFonts w:ascii="Courier New" w:hAnsi="Courier New" w:hint="default"/>
      </w:rPr>
    </w:lvl>
    <w:lvl w:ilvl="8" w:tplc="39E090EE" w:tentative="1">
      <w:start w:val="1"/>
      <w:numFmt w:val="bullet"/>
      <w:lvlText w:val=""/>
      <w:lvlJc w:val="left"/>
      <w:pPr>
        <w:tabs>
          <w:tab w:val="num" w:pos="6480"/>
        </w:tabs>
        <w:ind w:left="6480" w:hanging="360"/>
      </w:pPr>
      <w:rPr>
        <w:rFonts w:ascii="Wingdings" w:hAnsi="Wingdings" w:hint="default"/>
      </w:rPr>
    </w:lvl>
  </w:abstractNum>
  <w:abstractNum w:abstractNumId="43">
    <w:nsid w:val="72591C04"/>
    <w:multiLevelType w:val="hybridMultilevel"/>
    <w:tmpl w:val="E2A67668"/>
    <w:lvl w:ilvl="0" w:tplc="0409001B">
      <w:start w:val="1"/>
      <w:numFmt w:val="lowerRoman"/>
      <w:lvlText w:val="%1."/>
      <w:lvlJc w:val="right"/>
      <w:pPr>
        <w:tabs>
          <w:tab w:val="num" w:pos="4140"/>
        </w:tabs>
        <w:ind w:left="4140" w:hanging="180"/>
      </w:pPr>
    </w:lvl>
    <w:lvl w:ilvl="1" w:tplc="04090019" w:tentative="1">
      <w:start w:val="1"/>
      <w:numFmt w:val="lowerLetter"/>
      <w:lvlText w:val="%2."/>
      <w:lvlJc w:val="left"/>
      <w:pPr>
        <w:tabs>
          <w:tab w:val="num" w:pos="3420"/>
        </w:tabs>
        <w:ind w:left="3420" w:hanging="360"/>
      </w:pPr>
    </w:lvl>
    <w:lvl w:ilvl="2" w:tplc="0409001B" w:tentative="1">
      <w:start w:val="1"/>
      <w:numFmt w:val="lowerRoman"/>
      <w:lvlText w:val="%3."/>
      <w:lvlJc w:val="right"/>
      <w:pPr>
        <w:tabs>
          <w:tab w:val="num" w:pos="4140"/>
        </w:tabs>
        <w:ind w:left="4140" w:hanging="180"/>
      </w:pPr>
    </w:lvl>
    <w:lvl w:ilvl="3" w:tplc="0409000F" w:tentative="1">
      <w:start w:val="1"/>
      <w:numFmt w:val="decimal"/>
      <w:lvlText w:val="%4."/>
      <w:lvlJc w:val="left"/>
      <w:pPr>
        <w:tabs>
          <w:tab w:val="num" w:pos="4860"/>
        </w:tabs>
        <w:ind w:left="4860" w:hanging="360"/>
      </w:pPr>
    </w:lvl>
    <w:lvl w:ilvl="4" w:tplc="04090019" w:tentative="1">
      <w:start w:val="1"/>
      <w:numFmt w:val="lowerLetter"/>
      <w:lvlText w:val="%5."/>
      <w:lvlJc w:val="left"/>
      <w:pPr>
        <w:tabs>
          <w:tab w:val="num" w:pos="5580"/>
        </w:tabs>
        <w:ind w:left="5580" w:hanging="360"/>
      </w:pPr>
    </w:lvl>
    <w:lvl w:ilvl="5" w:tplc="0409001B" w:tentative="1">
      <w:start w:val="1"/>
      <w:numFmt w:val="lowerRoman"/>
      <w:lvlText w:val="%6."/>
      <w:lvlJc w:val="right"/>
      <w:pPr>
        <w:tabs>
          <w:tab w:val="num" w:pos="6300"/>
        </w:tabs>
        <w:ind w:left="6300" w:hanging="180"/>
      </w:pPr>
    </w:lvl>
    <w:lvl w:ilvl="6" w:tplc="0409000F" w:tentative="1">
      <w:start w:val="1"/>
      <w:numFmt w:val="decimal"/>
      <w:lvlText w:val="%7."/>
      <w:lvlJc w:val="left"/>
      <w:pPr>
        <w:tabs>
          <w:tab w:val="num" w:pos="7020"/>
        </w:tabs>
        <w:ind w:left="7020" w:hanging="360"/>
      </w:pPr>
    </w:lvl>
    <w:lvl w:ilvl="7" w:tplc="04090019" w:tentative="1">
      <w:start w:val="1"/>
      <w:numFmt w:val="lowerLetter"/>
      <w:lvlText w:val="%8."/>
      <w:lvlJc w:val="left"/>
      <w:pPr>
        <w:tabs>
          <w:tab w:val="num" w:pos="7740"/>
        </w:tabs>
        <w:ind w:left="7740" w:hanging="360"/>
      </w:pPr>
    </w:lvl>
    <w:lvl w:ilvl="8" w:tplc="0409001B" w:tentative="1">
      <w:start w:val="1"/>
      <w:numFmt w:val="lowerRoman"/>
      <w:lvlText w:val="%9."/>
      <w:lvlJc w:val="right"/>
      <w:pPr>
        <w:tabs>
          <w:tab w:val="num" w:pos="8460"/>
        </w:tabs>
        <w:ind w:left="8460" w:hanging="180"/>
      </w:pPr>
    </w:lvl>
  </w:abstractNum>
  <w:abstractNum w:abstractNumId="44">
    <w:nsid w:val="760020C9"/>
    <w:multiLevelType w:val="hybridMultilevel"/>
    <w:tmpl w:val="FB884A6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77BF24FB"/>
    <w:multiLevelType w:val="hybridMultilevel"/>
    <w:tmpl w:val="F1340336"/>
    <w:lvl w:ilvl="0" w:tplc="0409000F">
      <w:start w:val="1"/>
      <w:numFmt w:val="decimal"/>
      <w:lvlText w:val="%1."/>
      <w:lvlJc w:val="left"/>
      <w:pPr>
        <w:tabs>
          <w:tab w:val="num" w:pos="4320"/>
        </w:tabs>
        <w:ind w:left="43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6">
    <w:nsid w:val="7CFC21EA"/>
    <w:multiLevelType w:val="hybridMultilevel"/>
    <w:tmpl w:val="F0AC99D8"/>
    <w:lvl w:ilvl="0" w:tplc="04090001">
      <w:start w:val="1"/>
      <w:numFmt w:val="bullet"/>
      <w:lvlText w:val=""/>
      <w:lvlJc w:val="left"/>
      <w:pPr>
        <w:tabs>
          <w:tab w:val="num" w:pos="2160"/>
        </w:tabs>
        <w:ind w:left="2160" w:hanging="360"/>
      </w:pPr>
      <w:rPr>
        <w:rFonts w:ascii="Symbol" w:hAnsi="Symbol" w:hint="default"/>
      </w:rPr>
    </w:lvl>
    <w:lvl w:ilvl="1" w:tplc="04090019">
      <w:start w:val="1"/>
      <w:numFmt w:val="lowerLetter"/>
      <w:lvlText w:val="%2."/>
      <w:lvlJc w:val="left"/>
      <w:pPr>
        <w:tabs>
          <w:tab w:val="num" w:pos="2880"/>
        </w:tabs>
        <w:ind w:left="2880" w:hanging="360"/>
      </w:pPr>
    </w:lvl>
    <w:lvl w:ilvl="2" w:tplc="366061C4">
      <w:start w:val="1"/>
      <w:numFmt w:val="decimal"/>
      <w:lvlText w:val="%3."/>
      <w:lvlJc w:val="left"/>
      <w:pPr>
        <w:tabs>
          <w:tab w:val="num" w:pos="3780"/>
        </w:tabs>
        <w:ind w:left="3780" w:hanging="360"/>
      </w:pPr>
      <w:rPr>
        <w:rFonts w:hint="default"/>
        <w:b w:val="0"/>
      </w:rPr>
    </w:lvl>
    <w:lvl w:ilvl="3" w:tplc="0409000F">
      <w:start w:val="1"/>
      <w:numFmt w:val="decimal"/>
      <w:lvlText w:val="%4."/>
      <w:lvlJc w:val="left"/>
      <w:pPr>
        <w:tabs>
          <w:tab w:val="num" w:pos="4320"/>
        </w:tabs>
        <w:ind w:left="4320" w:hanging="360"/>
      </w:pPr>
    </w:lvl>
    <w:lvl w:ilvl="4" w:tplc="04090019">
      <w:start w:val="1"/>
      <w:numFmt w:val="lowerLetter"/>
      <w:lvlText w:val="%5."/>
      <w:lvlJc w:val="left"/>
      <w:pPr>
        <w:tabs>
          <w:tab w:val="num" w:pos="5040"/>
        </w:tabs>
        <w:ind w:left="5040" w:hanging="360"/>
      </w:pPr>
    </w:lvl>
    <w:lvl w:ilvl="5" w:tplc="0409001B">
      <w:start w:val="1"/>
      <w:numFmt w:val="lowerRoman"/>
      <w:lvlText w:val="%6."/>
      <w:lvlJc w:val="right"/>
      <w:pPr>
        <w:tabs>
          <w:tab w:val="num" w:pos="5760"/>
        </w:tabs>
        <w:ind w:left="5760" w:hanging="180"/>
      </w:pPr>
    </w:lvl>
    <w:lvl w:ilvl="6" w:tplc="0409000F">
      <w:start w:val="1"/>
      <w:numFmt w:val="decimal"/>
      <w:lvlText w:val="%7."/>
      <w:lvlJc w:val="left"/>
      <w:pPr>
        <w:tabs>
          <w:tab w:val="num" w:pos="6480"/>
        </w:tabs>
        <w:ind w:left="6480" w:hanging="360"/>
      </w:pPr>
    </w:lvl>
    <w:lvl w:ilvl="7" w:tplc="04090019">
      <w:start w:val="1"/>
      <w:numFmt w:val="lowerLetter"/>
      <w:lvlText w:val="%8."/>
      <w:lvlJc w:val="left"/>
      <w:pPr>
        <w:tabs>
          <w:tab w:val="num" w:pos="7200"/>
        </w:tabs>
        <w:ind w:left="7200" w:hanging="360"/>
      </w:pPr>
    </w:lvl>
    <w:lvl w:ilvl="8" w:tplc="0409001B">
      <w:start w:val="1"/>
      <w:numFmt w:val="lowerRoman"/>
      <w:lvlText w:val="%9."/>
      <w:lvlJc w:val="right"/>
      <w:pPr>
        <w:tabs>
          <w:tab w:val="num" w:pos="7920"/>
        </w:tabs>
        <w:ind w:left="7920" w:hanging="180"/>
      </w:pPr>
    </w:lvl>
  </w:abstractNum>
  <w:abstractNum w:abstractNumId="47">
    <w:nsid w:val="7F6B7B03"/>
    <w:multiLevelType w:val="hybridMultilevel"/>
    <w:tmpl w:val="077C9C4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Aria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Aria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Aria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8">
    <w:nsid w:val="7F8B59A9"/>
    <w:multiLevelType w:val="hybridMultilevel"/>
    <w:tmpl w:val="239A1B7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5"/>
  </w:num>
  <w:num w:numId="3">
    <w:abstractNumId w:val="42"/>
  </w:num>
  <w:num w:numId="4">
    <w:abstractNumId w:val="40"/>
  </w:num>
  <w:num w:numId="5">
    <w:abstractNumId w:val="37"/>
  </w:num>
  <w:num w:numId="6">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3"/>
  </w:num>
  <w:num w:numId="8">
    <w:abstractNumId w:val="12"/>
  </w:num>
  <w:num w:numId="9">
    <w:abstractNumId w:val="9"/>
  </w:num>
  <w:num w:numId="10">
    <w:abstractNumId w:val="1"/>
  </w:num>
  <w:num w:numId="11">
    <w:abstractNumId w:val="21"/>
  </w:num>
  <w:num w:numId="12">
    <w:abstractNumId w:val="8"/>
  </w:num>
  <w:num w:numId="13">
    <w:abstractNumId w:val="14"/>
  </w:num>
  <w:num w:numId="14">
    <w:abstractNumId w:val="15"/>
  </w:num>
  <w:num w:numId="15">
    <w:abstractNumId w:val="6"/>
  </w:num>
  <w:num w:numId="16">
    <w:abstractNumId w:val="7"/>
  </w:num>
  <w:num w:numId="17">
    <w:abstractNumId w:val="31"/>
  </w:num>
  <w:num w:numId="18">
    <w:abstractNumId w:val="46"/>
  </w:num>
  <w:num w:numId="19">
    <w:abstractNumId w:val="41"/>
  </w:num>
  <w:num w:numId="20">
    <w:abstractNumId w:val="26"/>
  </w:num>
  <w:num w:numId="21">
    <w:abstractNumId w:val="18"/>
  </w:num>
  <w:num w:numId="22">
    <w:abstractNumId w:val="2"/>
  </w:num>
  <w:num w:numId="23">
    <w:abstractNumId w:val="4"/>
  </w:num>
  <w:num w:numId="24">
    <w:abstractNumId w:val="20"/>
  </w:num>
  <w:num w:numId="25">
    <w:abstractNumId w:val="27"/>
  </w:num>
  <w:num w:numId="26">
    <w:abstractNumId w:val="39"/>
  </w:num>
  <w:num w:numId="27">
    <w:abstractNumId w:val="16"/>
  </w:num>
  <w:num w:numId="28">
    <w:abstractNumId w:val="13"/>
  </w:num>
  <w:num w:numId="29">
    <w:abstractNumId w:val="45"/>
  </w:num>
  <w:num w:numId="30">
    <w:abstractNumId w:val="23"/>
  </w:num>
  <w:num w:numId="31">
    <w:abstractNumId w:val="36"/>
  </w:num>
  <w:num w:numId="32">
    <w:abstractNumId w:val="43"/>
  </w:num>
  <w:num w:numId="33">
    <w:abstractNumId w:val="33"/>
  </w:num>
  <w:num w:numId="34">
    <w:abstractNumId w:val="32"/>
  </w:num>
  <w:num w:numId="35">
    <w:abstractNumId w:val="47"/>
  </w:num>
  <w:num w:numId="36">
    <w:abstractNumId w:val="10"/>
  </w:num>
  <w:num w:numId="37">
    <w:abstractNumId w:val="38"/>
  </w:num>
  <w:num w:numId="38">
    <w:abstractNumId w:val="25"/>
  </w:num>
  <w:num w:numId="39">
    <w:abstractNumId w:val="29"/>
  </w:num>
  <w:num w:numId="40">
    <w:abstractNumId w:val="19"/>
  </w:num>
  <w:num w:numId="41">
    <w:abstractNumId w:val="22"/>
  </w:num>
  <w:num w:numId="42">
    <w:abstractNumId w:val="28"/>
  </w:num>
  <w:num w:numId="43">
    <w:abstractNumId w:val="48"/>
  </w:num>
  <w:num w:numId="44">
    <w:abstractNumId w:val="44"/>
  </w:num>
  <w:num w:numId="45">
    <w:abstractNumId w:val="35"/>
  </w:num>
  <w:num w:numId="46">
    <w:abstractNumId w:val="11"/>
  </w:num>
  <w:num w:numId="47">
    <w:abstractNumId w:val="24"/>
  </w:num>
  <w:num w:numId="48">
    <w:abstractNumId w:val="17"/>
  </w:num>
  <w:num w:numId="49">
    <w:abstractNumId w:val="30"/>
  </w:num>
  <w:num w:numId="50">
    <w:abstractNumId w:val="3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bestFit" w:percent="179"/>
  <w:embedSystemFonts/>
  <w:doNotTrackMoves/>
  <w:defaultTabStop w:val="720"/>
  <w:drawingGridHorizontalSpacing w:val="187"/>
  <w:drawingGridVerticalSpacing w:val="187"/>
  <w:displayHorizontalDrawingGridEvery w:val="0"/>
  <w:displayVerticalDrawingGridEvery w:val="0"/>
  <w:doNotUseMarginsForDrawingGridOrigin/>
  <w:drawingGridHorizontalOrigin w:val="1699"/>
  <w:drawingGridVerticalOrigin w:val="1987"/>
  <w:noPunctuationKerning/>
  <w:characterSpacingControl w:val="doNotCompress"/>
  <w:hdrShapeDefaults>
    <o:shapedefaults v:ext="edit" spidmax="2050"/>
  </w:hdrShapeDefaults>
  <w:footnotePr>
    <w:footnote w:id="-1"/>
    <w:footnote w:id="0"/>
  </w:footnotePr>
  <w:endnotePr>
    <w:endnote w:id="-1"/>
    <w:endnote w:id="0"/>
  </w:endnotePr>
  <w:compat/>
  <w:rsids>
    <w:rsidRoot w:val="00325024"/>
    <w:rsid w:val="00000FFC"/>
    <w:rsid w:val="00006D7C"/>
    <w:rsid w:val="00006E35"/>
    <w:rsid w:val="000102A9"/>
    <w:rsid w:val="00011664"/>
    <w:rsid w:val="000134D1"/>
    <w:rsid w:val="00013617"/>
    <w:rsid w:val="000167DD"/>
    <w:rsid w:val="0002089B"/>
    <w:rsid w:val="00020A56"/>
    <w:rsid w:val="00020E14"/>
    <w:rsid w:val="00021065"/>
    <w:rsid w:val="000219EB"/>
    <w:rsid w:val="000231E4"/>
    <w:rsid w:val="0003686C"/>
    <w:rsid w:val="00051327"/>
    <w:rsid w:val="000518AB"/>
    <w:rsid w:val="000568D9"/>
    <w:rsid w:val="0005797E"/>
    <w:rsid w:val="0006266E"/>
    <w:rsid w:val="00063716"/>
    <w:rsid w:val="000672A6"/>
    <w:rsid w:val="00075277"/>
    <w:rsid w:val="000761CE"/>
    <w:rsid w:val="00080C42"/>
    <w:rsid w:val="00092759"/>
    <w:rsid w:val="0009744E"/>
    <w:rsid w:val="000A087F"/>
    <w:rsid w:val="000A1017"/>
    <w:rsid w:val="000A6EFC"/>
    <w:rsid w:val="000B067C"/>
    <w:rsid w:val="000B65CE"/>
    <w:rsid w:val="000B7841"/>
    <w:rsid w:val="000C06A9"/>
    <w:rsid w:val="000C1008"/>
    <w:rsid w:val="000C7E92"/>
    <w:rsid w:val="000D0A7F"/>
    <w:rsid w:val="000D2EB4"/>
    <w:rsid w:val="000D4DD5"/>
    <w:rsid w:val="000E2C16"/>
    <w:rsid w:val="000E4037"/>
    <w:rsid w:val="000E49B6"/>
    <w:rsid w:val="000E68E5"/>
    <w:rsid w:val="000F4896"/>
    <w:rsid w:val="000F582E"/>
    <w:rsid w:val="000F604A"/>
    <w:rsid w:val="00100E30"/>
    <w:rsid w:val="00101F51"/>
    <w:rsid w:val="001041D0"/>
    <w:rsid w:val="001076C3"/>
    <w:rsid w:val="00107809"/>
    <w:rsid w:val="00112CCB"/>
    <w:rsid w:val="00122402"/>
    <w:rsid w:val="001310D6"/>
    <w:rsid w:val="001378F9"/>
    <w:rsid w:val="00141BDF"/>
    <w:rsid w:val="0014201D"/>
    <w:rsid w:val="00144D91"/>
    <w:rsid w:val="001456B0"/>
    <w:rsid w:val="00151280"/>
    <w:rsid w:val="001516CC"/>
    <w:rsid w:val="00152776"/>
    <w:rsid w:val="00156D8A"/>
    <w:rsid w:val="001602D4"/>
    <w:rsid w:val="00170165"/>
    <w:rsid w:val="00175204"/>
    <w:rsid w:val="00175DB8"/>
    <w:rsid w:val="00176FCB"/>
    <w:rsid w:val="00180370"/>
    <w:rsid w:val="00181902"/>
    <w:rsid w:val="001869B3"/>
    <w:rsid w:val="00186D5C"/>
    <w:rsid w:val="001908E5"/>
    <w:rsid w:val="00192751"/>
    <w:rsid w:val="00193241"/>
    <w:rsid w:val="001B44F1"/>
    <w:rsid w:val="001C0AEE"/>
    <w:rsid w:val="001C0D45"/>
    <w:rsid w:val="001C490E"/>
    <w:rsid w:val="001C66EF"/>
    <w:rsid w:val="001C682F"/>
    <w:rsid w:val="001F1150"/>
    <w:rsid w:val="001F15F7"/>
    <w:rsid w:val="001F4A21"/>
    <w:rsid w:val="00201D0A"/>
    <w:rsid w:val="00207BEA"/>
    <w:rsid w:val="00214782"/>
    <w:rsid w:val="002213C8"/>
    <w:rsid w:val="002213D4"/>
    <w:rsid w:val="002314AF"/>
    <w:rsid w:val="00236FE6"/>
    <w:rsid w:val="002403ED"/>
    <w:rsid w:val="002429FB"/>
    <w:rsid w:val="00244FCD"/>
    <w:rsid w:val="00245B33"/>
    <w:rsid w:val="00247F0B"/>
    <w:rsid w:val="00250673"/>
    <w:rsid w:val="00253125"/>
    <w:rsid w:val="00254409"/>
    <w:rsid w:val="0025472F"/>
    <w:rsid w:val="002559BD"/>
    <w:rsid w:val="00257371"/>
    <w:rsid w:val="0026361E"/>
    <w:rsid w:val="00267224"/>
    <w:rsid w:val="0027023C"/>
    <w:rsid w:val="0027054B"/>
    <w:rsid w:val="00270CFE"/>
    <w:rsid w:val="0028171E"/>
    <w:rsid w:val="00281C7C"/>
    <w:rsid w:val="002824DD"/>
    <w:rsid w:val="00282786"/>
    <w:rsid w:val="00284545"/>
    <w:rsid w:val="00284662"/>
    <w:rsid w:val="0029500D"/>
    <w:rsid w:val="002A127D"/>
    <w:rsid w:val="002A433E"/>
    <w:rsid w:val="002B0121"/>
    <w:rsid w:val="002B0BDD"/>
    <w:rsid w:val="002C1273"/>
    <w:rsid w:val="002C2173"/>
    <w:rsid w:val="002C6AE6"/>
    <w:rsid w:val="002C6B06"/>
    <w:rsid w:val="002C6EEC"/>
    <w:rsid w:val="002D095B"/>
    <w:rsid w:val="002D0A98"/>
    <w:rsid w:val="002D1A91"/>
    <w:rsid w:val="002D2826"/>
    <w:rsid w:val="002D3A66"/>
    <w:rsid w:val="002D5C5F"/>
    <w:rsid w:val="002E2BDF"/>
    <w:rsid w:val="002E78A4"/>
    <w:rsid w:val="002F02AC"/>
    <w:rsid w:val="002F0D41"/>
    <w:rsid w:val="002F3A8C"/>
    <w:rsid w:val="002F5B4D"/>
    <w:rsid w:val="002F62E0"/>
    <w:rsid w:val="002F6490"/>
    <w:rsid w:val="002F69F3"/>
    <w:rsid w:val="002F73B9"/>
    <w:rsid w:val="0030093B"/>
    <w:rsid w:val="003035FA"/>
    <w:rsid w:val="00320736"/>
    <w:rsid w:val="003239E8"/>
    <w:rsid w:val="00325024"/>
    <w:rsid w:val="00330740"/>
    <w:rsid w:val="003347AB"/>
    <w:rsid w:val="003421A1"/>
    <w:rsid w:val="00345872"/>
    <w:rsid w:val="00345DD8"/>
    <w:rsid w:val="00350EAF"/>
    <w:rsid w:val="0035254D"/>
    <w:rsid w:val="00353FFD"/>
    <w:rsid w:val="00355F0C"/>
    <w:rsid w:val="00356AF8"/>
    <w:rsid w:val="00361C17"/>
    <w:rsid w:val="00364C1D"/>
    <w:rsid w:val="00366A4E"/>
    <w:rsid w:val="00370D02"/>
    <w:rsid w:val="00373929"/>
    <w:rsid w:val="003745FF"/>
    <w:rsid w:val="00377801"/>
    <w:rsid w:val="00382C6B"/>
    <w:rsid w:val="0038303F"/>
    <w:rsid w:val="0038364C"/>
    <w:rsid w:val="003945D5"/>
    <w:rsid w:val="00394F88"/>
    <w:rsid w:val="00396167"/>
    <w:rsid w:val="003A1132"/>
    <w:rsid w:val="003A2533"/>
    <w:rsid w:val="003B0CE9"/>
    <w:rsid w:val="003B10E5"/>
    <w:rsid w:val="003B5F3A"/>
    <w:rsid w:val="003C3471"/>
    <w:rsid w:val="003C6F6E"/>
    <w:rsid w:val="003C7150"/>
    <w:rsid w:val="003D37C9"/>
    <w:rsid w:val="003D3973"/>
    <w:rsid w:val="003D503A"/>
    <w:rsid w:val="003D5F37"/>
    <w:rsid w:val="003E67C9"/>
    <w:rsid w:val="003F1BD6"/>
    <w:rsid w:val="003F2406"/>
    <w:rsid w:val="00401993"/>
    <w:rsid w:val="00401C27"/>
    <w:rsid w:val="00404448"/>
    <w:rsid w:val="00406374"/>
    <w:rsid w:val="00410E5C"/>
    <w:rsid w:val="004116C6"/>
    <w:rsid w:val="00412137"/>
    <w:rsid w:val="00413D0D"/>
    <w:rsid w:val="00417609"/>
    <w:rsid w:val="00422BDF"/>
    <w:rsid w:val="00423BAC"/>
    <w:rsid w:val="00424311"/>
    <w:rsid w:val="00427865"/>
    <w:rsid w:val="004309DE"/>
    <w:rsid w:val="00432C69"/>
    <w:rsid w:val="0043326C"/>
    <w:rsid w:val="004373DF"/>
    <w:rsid w:val="004406BE"/>
    <w:rsid w:val="00444931"/>
    <w:rsid w:val="0044607D"/>
    <w:rsid w:val="0045195C"/>
    <w:rsid w:val="0045312F"/>
    <w:rsid w:val="00463A6A"/>
    <w:rsid w:val="004665AB"/>
    <w:rsid w:val="00471913"/>
    <w:rsid w:val="00471B96"/>
    <w:rsid w:val="00472086"/>
    <w:rsid w:val="004765FE"/>
    <w:rsid w:val="004827FA"/>
    <w:rsid w:val="004868DE"/>
    <w:rsid w:val="00490439"/>
    <w:rsid w:val="00493D38"/>
    <w:rsid w:val="004A3FBE"/>
    <w:rsid w:val="004A46AB"/>
    <w:rsid w:val="004A7981"/>
    <w:rsid w:val="004B2C9D"/>
    <w:rsid w:val="004B333F"/>
    <w:rsid w:val="004B5BC0"/>
    <w:rsid w:val="004B76CB"/>
    <w:rsid w:val="004C009D"/>
    <w:rsid w:val="004C4C72"/>
    <w:rsid w:val="004C77C3"/>
    <w:rsid w:val="004C78B9"/>
    <w:rsid w:val="004D091E"/>
    <w:rsid w:val="004D19E2"/>
    <w:rsid w:val="004D1C60"/>
    <w:rsid w:val="004D7AD2"/>
    <w:rsid w:val="004E1188"/>
    <w:rsid w:val="004E7E9D"/>
    <w:rsid w:val="004F0D53"/>
    <w:rsid w:val="004F4A4C"/>
    <w:rsid w:val="00501832"/>
    <w:rsid w:val="00512E82"/>
    <w:rsid w:val="00513B4D"/>
    <w:rsid w:val="00520595"/>
    <w:rsid w:val="00521527"/>
    <w:rsid w:val="005246B5"/>
    <w:rsid w:val="00525841"/>
    <w:rsid w:val="0053057D"/>
    <w:rsid w:val="00540E19"/>
    <w:rsid w:val="005415C3"/>
    <w:rsid w:val="00542E56"/>
    <w:rsid w:val="005479E5"/>
    <w:rsid w:val="00551954"/>
    <w:rsid w:val="00552BE3"/>
    <w:rsid w:val="00561271"/>
    <w:rsid w:val="005628BC"/>
    <w:rsid w:val="0056580C"/>
    <w:rsid w:val="005673CD"/>
    <w:rsid w:val="00567C7F"/>
    <w:rsid w:val="00573270"/>
    <w:rsid w:val="00584FC5"/>
    <w:rsid w:val="00585C0A"/>
    <w:rsid w:val="00590910"/>
    <w:rsid w:val="00594A1D"/>
    <w:rsid w:val="00595141"/>
    <w:rsid w:val="005A0360"/>
    <w:rsid w:val="005A3DF3"/>
    <w:rsid w:val="005A5C31"/>
    <w:rsid w:val="005A694C"/>
    <w:rsid w:val="005B2E7A"/>
    <w:rsid w:val="005B7790"/>
    <w:rsid w:val="005B7C78"/>
    <w:rsid w:val="005B7E9A"/>
    <w:rsid w:val="005C2CC2"/>
    <w:rsid w:val="005C4D23"/>
    <w:rsid w:val="005C4DB1"/>
    <w:rsid w:val="005D2714"/>
    <w:rsid w:val="005D42DD"/>
    <w:rsid w:val="005D6A54"/>
    <w:rsid w:val="005E63A3"/>
    <w:rsid w:val="005F092A"/>
    <w:rsid w:val="005F6B1D"/>
    <w:rsid w:val="006051B9"/>
    <w:rsid w:val="0060593B"/>
    <w:rsid w:val="006078C5"/>
    <w:rsid w:val="006120AD"/>
    <w:rsid w:val="006142F7"/>
    <w:rsid w:val="00614E04"/>
    <w:rsid w:val="00622A7D"/>
    <w:rsid w:val="0062591B"/>
    <w:rsid w:val="00626265"/>
    <w:rsid w:val="00626C19"/>
    <w:rsid w:val="00627E0D"/>
    <w:rsid w:val="006400C6"/>
    <w:rsid w:val="00645D00"/>
    <w:rsid w:val="00647672"/>
    <w:rsid w:val="0065157A"/>
    <w:rsid w:val="00652B36"/>
    <w:rsid w:val="00655786"/>
    <w:rsid w:val="00660631"/>
    <w:rsid w:val="00660A70"/>
    <w:rsid w:val="00662E33"/>
    <w:rsid w:val="00666537"/>
    <w:rsid w:val="006744FE"/>
    <w:rsid w:val="006755B8"/>
    <w:rsid w:val="006775F8"/>
    <w:rsid w:val="00677A22"/>
    <w:rsid w:val="00677A7D"/>
    <w:rsid w:val="00682B06"/>
    <w:rsid w:val="00685FF9"/>
    <w:rsid w:val="00686382"/>
    <w:rsid w:val="0068684D"/>
    <w:rsid w:val="00695118"/>
    <w:rsid w:val="00697269"/>
    <w:rsid w:val="006A06D4"/>
    <w:rsid w:val="006A0AE0"/>
    <w:rsid w:val="006A0B64"/>
    <w:rsid w:val="006A598D"/>
    <w:rsid w:val="006C20AF"/>
    <w:rsid w:val="006C5634"/>
    <w:rsid w:val="006C6E37"/>
    <w:rsid w:val="006D045C"/>
    <w:rsid w:val="006D3FAC"/>
    <w:rsid w:val="006D4A98"/>
    <w:rsid w:val="006D7B71"/>
    <w:rsid w:val="00702EA8"/>
    <w:rsid w:val="007046E1"/>
    <w:rsid w:val="0070624D"/>
    <w:rsid w:val="0071458F"/>
    <w:rsid w:val="00714F05"/>
    <w:rsid w:val="007164D4"/>
    <w:rsid w:val="007348B6"/>
    <w:rsid w:val="00745B6F"/>
    <w:rsid w:val="00751922"/>
    <w:rsid w:val="00752566"/>
    <w:rsid w:val="00753261"/>
    <w:rsid w:val="007569A8"/>
    <w:rsid w:val="00764E33"/>
    <w:rsid w:val="00770FC8"/>
    <w:rsid w:val="00776609"/>
    <w:rsid w:val="00784AD6"/>
    <w:rsid w:val="00785360"/>
    <w:rsid w:val="00787B5A"/>
    <w:rsid w:val="00787C35"/>
    <w:rsid w:val="007902B0"/>
    <w:rsid w:val="00793740"/>
    <w:rsid w:val="00793CF4"/>
    <w:rsid w:val="007A3703"/>
    <w:rsid w:val="007A3E89"/>
    <w:rsid w:val="007A48A5"/>
    <w:rsid w:val="007B31D1"/>
    <w:rsid w:val="007C0F00"/>
    <w:rsid w:val="007C3C88"/>
    <w:rsid w:val="007D200F"/>
    <w:rsid w:val="007D3284"/>
    <w:rsid w:val="007D4DE2"/>
    <w:rsid w:val="007D726B"/>
    <w:rsid w:val="007E00D7"/>
    <w:rsid w:val="007E1CC9"/>
    <w:rsid w:val="007E6804"/>
    <w:rsid w:val="007E72ED"/>
    <w:rsid w:val="007F437D"/>
    <w:rsid w:val="007F6DB8"/>
    <w:rsid w:val="007F718A"/>
    <w:rsid w:val="00802959"/>
    <w:rsid w:val="00802BEC"/>
    <w:rsid w:val="00812F02"/>
    <w:rsid w:val="008133A5"/>
    <w:rsid w:val="00815268"/>
    <w:rsid w:val="00815D3B"/>
    <w:rsid w:val="0081699B"/>
    <w:rsid w:val="00820781"/>
    <w:rsid w:val="00821568"/>
    <w:rsid w:val="00823038"/>
    <w:rsid w:val="00824080"/>
    <w:rsid w:val="00826223"/>
    <w:rsid w:val="008314B1"/>
    <w:rsid w:val="00837B17"/>
    <w:rsid w:val="00841A2C"/>
    <w:rsid w:val="008428F2"/>
    <w:rsid w:val="00843184"/>
    <w:rsid w:val="0085198A"/>
    <w:rsid w:val="008547C6"/>
    <w:rsid w:val="008576BF"/>
    <w:rsid w:val="008642CA"/>
    <w:rsid w:val="008716F1"/>
    <w:rsid w:val="00872605"/>
    <w:rsid w:val="00877102"/>
    <w:rsid w:val="008820B0"/>
    <w:rsid w:val="00885A00"/>
    <w:rsid w:val="00887E40"/>
    <w:rsid w:val="00893000"/>
    <w:rsid w:val="00895938"/>
    <w:rsid w:val="008A6DD1"/>
    <w:rsid w:val="008A7928"/>
    <w:rsid w:val="008C05B5"/>
    <w:rsid w:val="008C2160"/>
    <w:rsid w:val="008C3FCA"/>
    <w:rsid w:val="008C62D1"/>
    <w:rsid w:val="008D5B7E"/>
    <w:rsid w:val="008E6388"/>
    <w:rsid w:val="008E638E"/>
    <w:rsid w:val="008F0971"/>
    <w:rsid w:val="00901BD6"/>
    <w:rsid w:val="009035A7"/>
    <w:rsid w:val="00904F01"/>
    <w:rsid w:val="00907D5C"/>
    <w:rsid w:val="00910116"/>
    <w:rsid w:val="009110DB"/>
    <w:rsid w:val="00911DD1"/>
    <w:rsid w:val="0091745F"/>
    <w:rsid w:val="00917AAA"/>
    <w:rsid w:val="00921A6F"/>
    <w:rsid w:val="00922D05"/>
    <w:rsid w:val="00945ECC"/>
    <w:rsid w:val="00960FE2"/>
    <w:rsid w:val="00961366"/>
    <w:rsid w:val="009627C8"/>
    <w:rsid w:val="00973C3B"/>
    <w:rsid w:val="009747FB"/>
    <w:rsid w:val="009758EB"/>
    <w:rsid w:val="00991459"/>
    <w:rsid w:val="00993BB4"/>
    <w:rsid w:val="009944AE"/>
    <w:rsid w:val="00996838"/>
    <w:rsid w:val="009A429E"/>
    <w:rsid w:val="009A6433"/>
    <w:rsid w:val="009A6491"/>
    <w:rsid w:val="009B039C"/>
    <w:rsid w:val="009B0663"/>
    <w:rsid w:val="009B6583"/>
    <w:rsid w:val="009C4826"/>
    <w:rsid w:val="009D31A7"/>
    <w:rsid w:val="009D379B"/>
    <w:rsid w:val="009D7068"/>
    <w:rsid w:val="009D7A08"/>
    <w:rsid w:val="009E0231"/>
    <w:rsid w:val="009E46E9"/>
    <w:rsid w:val="009E6880"/>
    <w:rsid w:val="009F2D94"/>
    <w:rsid w:val="009F4910"/>
    <w:rsid w:val="00A01FAE"/>
    <w:rsid w:val="00A03398"/>
    <w:rsid w:val="00A0400D"/>
    <w:rsid w:val="00A05FFE"/>
    <w:rsid w:val="00A07D97"/>
    <w:rsid w:val="00A1269A"/>
    <w:rsid w:val="00A12A42"/>
    <w:rsid w:val="00A15646"/>
    <w:rsid w:val="00A17345"/>
    <w:rsid w:val="00A20309"/>
    <w:rsid w:val="00A22D4C"/>
    <w:rsid w:val="00A24423"/>
    <w:rsid w:val="00A251B5"/>
    <w:rsid w:val="00A25664"/>
    <w:rsid w:val="00A3334E"/>
    <w:rsid w:val="00A41137"/>
    <w:rsid w:val="00A41C45"/>
    <w:rsid w:val="00A43C14"/>
    <w:rsid w:val="00A452E2"/>
    <w:rsid w:val="00A5511A"/>
    <w:rsid w:val="00A6096C"/>
    <w:rsid w:val="00A74FDE"/>
    <w:rsid w:val="00A75F2D"/>
    <w:rsid w:val="00A81525"/>
    <w:rsid w:val="00A8342E"/>
    <w:rsid w:val="00A83968"/>
    <w:rsid w:val="00AA3D07"/>
    <w:rsid w:val="00AA5E17"/>
    <w:rsid w:val="00AB0EE5"/>
    <w:rsid w:val="00AB368C"/>
    <w:rsid w:val="00AB4EB6"/>
    <w:rsid w:val="00AC003C"/>
    <w:rsid w:val="00AC7FD0"/>
    <w:rsid w:val="00AD0697"/>
    <w:rsid w:val="00AD3A41"/>
    <w:rsid w:val="00AD3D0B"/>
    <w:rsid w:val="00AD7FF4"/>
    <w:rsid w:val="00AE182D"/>
    <w:rsid w:val="00AE2D99"/>
    <w:rsid w:val="00AE3BFC"/>
    <w:rsid w:val="00AE7F71"/>
    <w:rsid w:val="00AF3F26"/>
    <w:rsid w:val="00AF65CB"/>
    <w:rsid w:val="00B0397B"/>
    <w:rsid w:val="00B0676C"/>
    <w:rsid w:val="00B12552"/>
    <w:rsid w:val="00B15780"/>
    <w:rsid w:val="00B167AD"/>
    <w:rsid w:val="00B2079E"/>
    <w:rsid w:val="00B210FD"/>
    <w:rsid w:val="00B2170A"/>
    <w:rsid w:val="00B22AB7"/>
    <w:rsid w:val="00B25660"/>
    <w:rsid w:val="00B27542"/>
    <w:rsid w:val="00B420EC"/>
    <w:rsid w:val="00B42921"/>
    <w:rsid w:val="00B43770"/>
    <w:rsid w:val="00B44708"/>
    <w:rsid w:val="00B45E28"/>
    <w:rsid w:val="00B61884"/>
    <w:rsid w:val="00B679CF"/>
    <w:rsid w:val="00B84480"/>
    <w:rsid w:val="00B93358"/>
    <w:rsid w:val="00B94CDE"/>
    <w:rsid w:val="00B97CE5"/>
    <w:rsid w:val="00BA207D"/>
    <w:rsid w:val="00BA61CE"/>
    <w:rsid w:val="00BA68CA"/>
    <w:rsid w:val="00BA714D"/>
    <w:rsid w:val="00BA7508"/>
    <w:rsid w:val="00BB3ED6"/>
    <w:rsid w:val="00BC0DA6"/>
    <w:rsid w:val="00BC11BE"/>
    <w:rsid w:val="00BC40DB"/>
    <w:rsid w:val="00BC55BC"/>
    <w:rsid w:val="00BC5A5E"/>
    <w:rsid w:val="00BD3515"/>
    <w:rsid w:val="00BD5386"/>
    <w:rsid w:val="00BD7D81"/>
    <w:rsid w:val="00BE58BD"/>
    <w:rsid w:val="00BE673D"/>
    <w:rsid w:val="00BE6879"/>
    <w:rsid w:val="00BF20AB"/>
    <w:rsid w:val="00BF3146"/>
    <w:rsid w:val="00BF49E1"/>
    <w:rsid w:val="00BF53BC"/>
    <w:rsid w:val="00BF5AA2"/>
    <w:rsid w:val="00BF61F7"/>
    <w:rsid w:val="00BF724C"/>
    <w:rsid w:val="00BF762F"/>
    <w:rsid w:val="00C037A4"/>
    <w:rsid w:val="00C044CE"/>
    <w:rsid w:val="00C068D2"/>
    <w:rsid w:val="00C0752F"/>
    <w:rsid w:val="00C07D8D"/>
    <w:rsid w:val="00C1717B"/>
    <w:rsid w:val="00C20FA8"/>
    <w:rsid w:val="00C25872"/>
    <w:rsid w:val="00C27877"/>
    <w:rsid w:val="00C27C3D"/>
    <w:rsid w:val="00C3449E"/>
    <w:rsid w:val="00C35BF5"/>
    <w:rsid w:val="00C3617E"/>
    <w:rsid w:val="00C42DAA"/>
    <w:rsid w:val="00C4669C"/>
    <w:rsid w:val="00C50F32"/>
    <w:rsid w:val="00C61CD9"/>
    <w:rsid w:val="00C666F7"/>
    <w:rsid w:val="00C67D90"/>
    <w:rsid w:val="00C71339"/>
    <w:rsid w:val="00C74CA1"/>
    <w:rsid w:val="00C806B5"/>
    <w:rsid w:val="00C81457"/>
    <w:rsid w:val="00C871DB"/>
    <w:rsid w:val="00C903B6"/>
    <w:rsid w:val="00C903DE"/>
    <w:rsid w:val="00C91936"/>
    <w:rsid w:val="00C95446"/>
    <w:rsid w:val="00C97640"/>
    <w:rsid w:val="00C978E6"/>
    <w:rsid w:val="00CA3266"/>
    <w:rsid w:val="00CB243F"/>
    <w:rsid w:val="00CB3081"/>
    <w:rsid w:val="00CB4108"/>
    <w:rsid w:val="00CB411E"/>
    <w:rsid w:val="00CD3A0B"/>
    <w:rsid w:val="00CD47B3"/>
    <w:rsid w:val="00CD6618"/>
    <w:rsid w:val="00CE0680"/>
    <w:rsid w:val="00CE2F93"/>
    <w:rsid w:val="00CE3AD3"/>
    <w:rsid w:val="00CF115E"/>
    <w:rsid w:val="00CF195B"/>
    <w:rsid w:val="00CF345F"/>
    <w:rsid w:val="00D069E9"/>
    <w:rsid w:val="00D11DF1"/>
    <w:rsid w:val="00D12922"/>
    <w:rsid w:val="00D13416"/>
    <w:rsid w:val="00D163AC"/>
    <w:rsid w:val="00D209D0"/>
    <w:rsid w:val="00D22A78"/>
    <w:rsid w:val="00D22DD1"/>
    <w:rsid w:val="00D24B6F"/>
    <w:rsid w:val="00D2509C"/>
    <w:rsid w:val="00D253CE"/>
    <w:rsid w:val="00D26B74"/>
    <w:rsid w:val="00D34AAB"/>
    <w:rsid w:val="00D35C15"/>
    <w:rsid w:val="00D37A3A"/>
    <w:rsid w:val="00D4331E"/>
    <w:rsid w:val="00D43834"/>
    <w:rsid w:val="00D44644"/>
    <w:rsid w:val="00D4532B"/>
    <w:rsid w:val="00D53C62"/>
    <w:rsid w:val="00D55E1D"/>
    <w:rsid w:val="00D636B6"/>
    <w:rsid w:val="00D70AA4"/>
    <w:rsid w:val="00D73FE3"/>
    <w:rsid w:val="00D8298B"/>
    <w:rsid w:val="00D85521"/>
    <w:rsid w:val="00D8647F"/>
    <w:rsid w:val="00D86641"/>
    <w:rsid w:val="00D86915"/>
    <w:rsid w:val="00D903C3"/>
    <w:rsid w:val="00D912BC"/>
    <w:rsid w:val="00DA2D55"/>
    <w:rsid w:val="00DB4827"/>
    <w:rsid w:val="00DB5B5A"/>
    <w:rsid w:val="00DB7008"/>
    <w:rsid w:val="00DC0108"/>
    <w:rsid w:val="00DC7B47"/>
    <w:rsid w:val="00DD0CC4"/>
    <w:rsid w:val="00DD30C2"/>
    <w:rsid w:val="00DE09BD"/>
    <w:rsid w:val="00DF33AE"/>
    <w:rsid w:val="00E00E40"/>
    <w:rsid w:val="00E0209E"/>
    <w:rsid w:val="00E100A7"/>
    <w:rsid w:val="00E11AA2"/>
    <w:rsid w:val="00E12CF4"/>
    <w:rsid w:val="00E139C3"/>
    <w:rsid w:val="00E150EF"/>
    <w:rsid w:val="00E16B89"/>
    <w:rsid w:val="00E17F30"/>
    <w:rsid w:val="00E215B5"/>
    <w:rsid w:val="00E23940"/>
    <w:rsid w:val="00E24D34"/>
    <w:rsid w:val="00E252F5"/>
    <w:rsid w:val="00E25508"/>
    <w:rsid w:val="00E27494"/>
    <w:rsid w:val="00E27F05"/>
    <w:rsid w:val="00E35002"/>
    <w:rsid w:val="00E36353"/>
    <w:rsid w:val="00E37D11"/>
    <w:rsid w:val="00E43087"/>
    <w:rsid w:val="00E4655F"/>
    <w:rsid w:val="00E473C9"/>
    <w:rsid w:val="00E47590"/>
    <w:rsid w:val="00E50B30"/>
    <w:rsid w:val="00E52100"/>
    <w:rsid w:val="00E560E9"/>
    <w:rsid w:val="00E57AAD"/>
    <w:rsid w:val="00E607E6"/>
    <w:rsid w:val="00E66310"/>
    <w:rsid w:val="00E80463"/>
    <w:rsid w:val="00E90940"/>
    <w:rsid w:val="00E913ED"/>
    <w:rsid w:val="00E9577B"/>
    <w:rsid w:val="00E97F00"/>
    <w:rsid w:val="00EA31E8"/>
    <w:rsid w:val="00EA3E34"/>
    <w:rsid w:val="00EA611A"/>
    <w:rsid w:val="00EB000F"/>
    <w:rsid w:val="00EB2FA7"/>
    <w:rsid w:val="00EB37F3"/>
    <w:rsid w:val="00EB4AA3"/>
    <w:rsid w:val="00EC415F"/>
    <w:rsid w:val="00EC52DF"/>
    <w:rsid w:val="00ED4E57"/>
    <w:rsid w:val="00EE14D4"/>
    <w:rsid w:val="00EE1C94"/>
    <w:rsid w:val="00EE4465"/>
    <w:rsid w:val="00EE5B39"/>
    <w:rsid w:val="00EE6581"/>
    <w:rsid w:val="00EF1794"/>
    <w:rsid w:val="00EF26AE"/>
    <w:rsid w:val="00EF7605"/>
    <w:rsid w:val="00F000FF"/>
    <w:rsid w:val="00F04166"/>
    <w:rsid w:val="00F0715F"/>
    <w:rsid w:val="00F1014A"/>
    <w:rsid w:val="00F124EA"/>
    <w:rsid w:val="00F137F2"/>
    <w:rsid w:val="00F15B7E"/>
    <w:rsid w:val="00F17FC8"/>
    <w:rsid w:val="00F203F5"/>
    <w:rsid w:val="00F20B97"/>
    <w:rsid w:val="00F25E89"/>
    <w:rsid w:val="00F33255"/>
    <w:rsid w:val="00F34353"/>
    <w:rsid w:val="00F414A9"/>
    <w:rsid w:val="00F415B8"/>
    <w:rsid w:val="00F4665E"/>
    <w:rsid w:val="00F47DC3"/>
    <w:rsid w:val="00F5126B"/>
    <w:rsid w:val="00F5543C"/>
    <w:rsid w:val="00F55D4B"/>
    <w:rsid w:val="00F57E07"/>
    <w:rsid w:val="00F63672"/>
    <w:rsid w:val="00F66A9C"/>
    <w:rsid w:val="00F6705A"/>
    <w:rsid w:val="00F83CCF"/>
    <w:rsid w:val="00F9242A"/>
    <w:rsid w:val="00FA023C"/>
    <w:rsid w:val="00FB22C1"/>
    <w:rsid w:val="00FB3F8F"/>
    <w:rsid w:val="00FB3FC1"/>
    <w:rsid w:val="00FC6238"/>
    <w:rsid w:val="00FD1583"/>
    <w:rsid w:val="00FD35FA"/>
    <w:rsid w:val="00FD59A6"/>
    <w:rsid w:val="00FE00E4"/>
    <w:rsid w:val="00FE086B"/>
    <w:rsid w:val="00FE18DD"/>
    <w:rsid w:val="00FE4B33"/>
    <w:rsid w:val="00FE608E"/>
    <w:rsid w:val="00FF07DC"/>
  </w:rsids>
  <m:mathPr>
    <m:mathFont m:val="Palatino"/>
    <m:brkBin m:val="before"/>
    <m:brkBinSub m:val="--"/>
    <m:smallFrac m:val="off"/>
    <m:dispDef m:val="off"/>
    <m:lMargin m:val="0"/>
    <m:rMargin m:val="0"/>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w:eastAsia="Times" w:hAnsi="Times" w:cs="Times New Roman"/>
        <w:sz w:val="24"/>
        <w:szCs w:val="24"/>
        <w:lang w:val="en-US" w:eastAsia="en-US" w:bidi="ar-SA"/>
      </w:rPr>
    </w:rPrDefault>
    <w:pPrDefault/>
  </w:docDefaults>
  <w:latentStyles w:defLockedState="0" w:defUIPriority="0" w:defSemiHidden="0" w:defUnhideWhenUsed="0" w:defQFormat="0" w:count="276">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table of figures" w:uiPriority="99"/>
  </w:latentStyles>
  <w:style w:type="paragraph" w:default="1" w:styleId="Normal">
    <w:name w:val="Normal"/>
    <w:qFormat/>
    <w:rsid w:val="00C903B6"/>
    <w:pPr>
      <w:spacing w:after="120"/>
    </w:pPr>
    <w:rPr>
      <w:rFonts w:ascii="Arial" w:hAnsi="Arial"/>
      <w:sz w:val="20"/>
    </w:rPr>
  </w:style>
  <w:style w:type="paragraph" w:styleId="Heading1">
    <w:name w:val="heading 1"/>
    <w:basedOn w:val="Normal"/>
    <w:next w:val="Normal"/>
    <w:qFormat/>
    <w:rsid w:val="00C903B6"/>
    <w:pPr>
      <w:keepNext/>
      <w:pageBreakBefore/>
      <w:numPr>
        <w:numId w:val="1"/>
      </w:numPr>
      <w:outlineLvl w:val="0"/>
    </w:pPr>
    <w:rPr>
      <w:b/>
      <w:sz w:val="28"/>
    </w:rPr>
  </w:style>
  <w:style w:type="paragraph" w:styleId="Heading2">
    <w:name w:val="heading 2"/>
    <w:basedOn w:val="Normal"/>
    <w:next w:val="Normal"/>
    <w:qFormat/>
    <w:rsid w:val="00C903B6"/>
    <w:pPr>
      <w:keepNext/>
      <w:numPr>
        <w:ilvl w:val="1"/>
        <w:numId w:val="1"/>
      </w:numPr>
      <w:outlineLvl w:val="1"/>
    </w:pPr>
    <w:rPr>
      <w:b/>
      <w:i/>
    </w:rPr>
  </w:style>
  <w:style w:type="paragraph" w:styleId="Heading3">
    <w:name w:val="heading 3"/>
    <w:basedOn w:val="Normal"/>
    <w:next w:val="Normal"/>
    <w:qFormat/>
    <w:rsid w:val="00C903B6"/>
    <w:pPr>
      <w:keepNext/>
      <w:numPr>
        <w:ilvl w:val="2"/>
        <w:numId w:val="1"/>
      </w:numPr>
      <w:outlineLvl w:val="2"/>
    </w:pPr>
    <w:rPr>
      <w:b/>
      <w:sz w:val="22"/>
    </w:rPr>
  </w:style>
  <w:style w:type="paragraph" w:styleId="Heading4">
    <w:name w:val="heading 4"/>
    <w:basedOn w:val="Normal"/>
    <w:next w:val="Normal"/>
    <w:qFormat/>
    <w:rsid w:val="00C903B6"/>
    <w:pPr>
      <w:keepNext/>
      <w:numPr>
        <w:ilvl w:val="3"/>
        <w:numId w:val="1"/>
      </w:numPr>
      <w:spacing w:after="60"/>
      <w:outlineLvl w:val="3"/>
    </w:pPr>
    <w:rPr>
      <w:i/>
      <w:sz w:val="22"/>
    </w:rPr>
  </w:style>
  <w:style w:type="paragraph" w:styleId="Heading5">
    <w:name w:val="heading 5"/>
    <w:basedOn w:val="Normal"/>
    <w:next w:val="Normal"/>
    <w:qFormat/>
    <w:rsid w:val="00C903B6"/>
    <w:pPr>
      <w:numPr>
        <w:ilvl w:val="4"/>
        <w:numId w:val="1"/>
      </w:numPr>
      <w:spacing w:before="240" w:after="60"/>
      <w:outlineLvl w:val="4"/>
    </w:pPr>
    <w:rPr>
      <w:b/>
      <w:i/>
      <w:sz w:val="26"/>
    </w:rPr>
  </w:style>
  <w:style w:type="paragraph" w:styleId="Heading6">
    <w:name w:val="heading 6"/>
    <w:basedOn w:val="Normal"/>
    <w:next w:val="Normal"/>
    <w:qFormat/>
    <w:rsid w:val="00C903B6"/>
    <w:pPr>
      <w:numPr>
        <w:ilvl w:val="5"/>
        <w:numId w:val="1"/>
      </w:numPr>
      <w:spacing w:before="240" w:after="60"/>
      <w:outlineLvl w:val="5"/>
    </w:pPr>
    <w:rPr>
      <w:b/>
      <w:sz w:val="22"/>
    </w:rPr>
  </w:style>
  <w:style w:type="paragraph" w:styleId="Heading7">
    <w:name w:val="heading 7"/>
    <w:basedOn w:val="Normal"/>
    <w:next w:val="Normal"/>
    <w:qFormat/>
    <w:rsid w:val="00C903B6"/>
    <w:pPr>
      <w:numPr>
        <w:ilvl w:val="6"/>
        <w:numId w:val="1"/>
      </w:numPr>
      <w:spacing w:before="240" w:after="60"/>
      <w:outlineLvl w:val="6"/>
    </w:pPr>
  </w:style>
  <w:style w:type="paragraph" w:styleId="Heading8">
    <w:name w:val="heading 8"/>
    <w:basedOn w:val="Normal"/>
    <w:next w:val="Normal"/>
    <w:qFormat/>
    <w:rsid w:val="00C903B6"/>
    <w:pPr>
      <w:numPr>
        <w:ilvl w:val="7"/>
        <w:numId w:val="1"/>
      </w:numPr>
      <w:spacing w:before="240" w:after="60"/>
      <w:outlineLvl w:val="7"/>
    </w:pPr>
    <w:rPr>
      <w:i/>
    </w:rPr>
  </w:style>
  <w:style w:type="paragraph" w:styleId="Heading9">
    <w:name w:val="heading 9"/>
    <w:basedOn w:val="Normal"/>
    <w:next w:val="Normal"/>
    <w:qFormat/>
    <w:rsid w:val="00C903B6"/>
    <w:pPr>
      <w:numPr>
        <w:ilvl w:val="8"/>
        <w:numId w:val="1"/>
      </w:numPr>
      <w:spacing w:before="240" w:after="60"/>
      <w:outlineLvl w:val="8"/>
    </w:pPr>
    <w:rPr>
      <w:rFonts w:ascii="Helvetica" w:hAnsi="Helvetica"/>
      <w:sz w:val="22"/>
    </w:rPr>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paragraph" w:styleId="Header">
    <w:name w:val="header"/>
    <w:basedOn w:val="Normal"/>
    <w:rsid w:val="00C903B6"/>
    <w:pPr>
      <w:tabs>
        <w:tab w:val="center" w:pos="4320"/>
        <w:tab w:val="right" w:pos="8640"/>
      </w:tabs>
    </w:pPr>
  </w:style>
  <w:style w:type="paragraph" w:styleId="Footer">
    <w:name w:val="footer"/>
    <w:basedOn w:val="Normal"/>
    <w:rsid w:val="00C903B6"/>
    <w:pPr>
      <w:tabs>
        <w:tab w:val="center" w:pos="4320"/>
        <w:tab w:val="right" w:pos="8640"/>
      </w:tabs>
    </w:pPr>
  </w:style>
  <w:style w:type="character" w:styleId="PageNumber">
    <w:name w:val="page number"/>
    <w:basedOn w:val="DefaultParagraphFont"/>
    <w:rsid w:val="00C903B6"/>
  </w:style>
  <w:style w:type="character" w:styleId="Hyperlink">
    <w:name w:val="Hyperlink"/>
    <w:basedOn w:val="DefaultParagraphFont"/>
    <w:uiPriority w:val="99"/>
    <w:rsid w:val="00C903B6"/>
    <w:rPr>
      <w:color w:val="0000FF"/>
      <w:u w:val="single"/>
    </w:rPr>
  </w:style>
  <w:style w:type="paragraph" w:styleId="Caption">
    <w:name w:val="caption"/>
    <w:basedOn w:val="Normal"/>
    <w:next w:val="Normal"/>
    <w:qFormat/>
    <w:rsid w:val="00C903B6"/>
    <w:pPr>
      <w:spacing w:before="120"/>
    </w:pPr>
    <w:rPr>
      <w:b/>
    </w:rPr>
  </w:style>
  <w:style w:type="paragraph" w:styleId="BodyText">
    <w:name w:val="Body Text"/>
    <w:basedOn w:val="Normal"/>
    <w:rsid w:val="00C903B6"/>
    <w:rPr>
      <w:rFonts w:ascii="Palatino" w:hAnsi="Palatino"/>
      <w:color w:val="000000"/>
    </w:rPr>
  </w:style>
  <w:style w:type="paragraph" w:styleId="TOC2">
    <w:name w:val="toc 2"/>
    <w:basedOn w:val="Normal"/>
    <w:next w:val="Normal"/>
    <w:autoRedefine/>
    <w:uiPriority w:val="39"/>
    <w:rsid w:val="00C903B6"/>
    <w:pPr>
      <w:ind w:left="240"/>
    </w:pPr>
  </w:style>
  <w:style w:type="paragraph" w:styleId="TOC1">
    <w:name w:val="toc 1"/>
    <w:basedOn w:val="Normal"/>
    <w:next w:val="Normal"/>
    <w:autoRedefine/>
    <w:uiPriority w:val="39"/>
    <w:rsid w:val="00C903B6"/>
  </w:style>
  <w:style w:type="paragraph" w:styleId="TOC3">
    <w:name w:val="toc 3"/>
    <w:basedOn w:val="Normal"/>
    <w:next w:val="Normal"/>
    <w:autoRedefine/>
    <w:uiPriority w:val="39"/>
    <w:rsid w:val="00C903B6"/>
    <w:pPr>
      <w:ind w:left="480"/>
    </w:pPr>
  </w:style>
  <w:style w:type="paragraph" w:styleId="TOC4">
    <w:name w:val="toc 4"/>
    <w:basedOn w:val="Normal"/>
    <w:next w:val="Normal"/>
    <w:autoRedefine/>
    <w:uiPriority w:val="39"/>
    <w:rsid w:val="00C903B6"/>
    <w:pPr>
      <w:ind w:left="720"/>
    </w:pPr>
  </w:style>
  <w:style w:type="paragraph" w:styleId="TOC5">
    <w:name w:val="toc 5"/>
    <w:basedOn w:val="Normal"/>
    <w:next w:val="Normal"/>
    <w:autoRedefine/>
    <w:uiPriority w:val="39"/>
    <w:rsid w:val="00C903B6"/>
    <w:pPr>
      <w:ind w:left="960"/>
    </w:pPr>
  </w:style>
  <w:style w:type="paragraph" w:styleId="TOC6">
    <w:name w:val="toc 6"/>
    <w:basedOn w:val="Normal"/>
    <w:next w:val="Normal"/>
    <w:autoRedefine/>
    <w:uiPriority w:val="39"/>
    <w:rsid w:val="00C903B6"/>
    <w:pPr>
      <w:ind w:left="1200"/>
    </w:pPr>
  </w:style>
  <w:style w:type="paragraph" w:styleId="TOC7">
    <w:name w:val="toc 7"/>
    <w:basedOn w:val="Normal"/>
    <w:next w:val="Normal"/>
    <w:autoRedefine/>
    <w:uiPriority w:val="39"/>
    <w:rsid w:val="00C903B6"/>
    <w:pPr>
      <w:ind w:left="1440"/>
    </w:pPr>
  </w:style>
  <w:style w:type="paragraph" w:styleId="TOC8">
    <w:name w:val="toc 8"/>
    <w:basedOn w:val="Normal"/>
    <w:next w:val="Normal"/>
    <w:autoRedefine/>
    <w:uiPriority w:val="39"/>
    <w:rsid w:val="00C903B6"/>
    <w:pPr>
      <w:ind w:left="1680"/>
    </w:pPr>
  </w:style>
  <w:style w:type="paragraph" w:styleId="TOC9">
    <w:name w:val="toc 9"/>
    <w:basedOn w:val="Normal"/>
    <w:next w:val="Normal"/>
    <w:autoRedefine/>
    <w:uiPriority w:val="39"/>
    <w:rsid w:val="00C903B6"/>
    <w:pPr>
      <w:ind w:left="1920"/>
    </w:pPr>
  </w:style>
  <w:style w:type="paragraph" w:styleId="BodyText2">
    <w:name w:val="Body Text 2"/>
    <w:basedOn w:val="Normal"/>
    <w:rsid w:val="00C903B6"/>
    <w:rPr>
      <w:snapToGrid w:val="0"/>
      <w:sz w:val="18"/>
    </w:rPr>
  </w:style>
  <w:style w:type="paragraph" w:styleId="TableofFigures">
    <w:name w:val="table of figures"/>
    <w:basedOn w:val="Normal"/>
    <w:next w:val="Normal"/>
    <w:uiPriority w:val="99"/>
    <w:rsid w:val="00C903B6"/>
    <w:pPr>
      <w:ind w:left="400" w:hanging="400"/>
    </w:pPr>
  </w:style>
  <w:style w:type="paragraph" w:customStyle="1" w:styleId="Appendix">
    <w:name w:val="Appendix"/>
    <w:next w:val="Normal"/>
    <w:rsid w:val="00C903B6"/>
    <w:pPr>
      <w:keepNext/>
      <w:pageBreakBefore/>
      <w:numPr>
        <w:numId w:val="1"/>
      </w:numPr>
      <w:spacing w:after="120"/>
    </w:pPr>
    <w:rPr>
      <w:rFonts w:ascii="Arial" w:hAnsi="Arial"/>
      <w:b/>
      <w:noProof/>
      <w:sz w:val="28"/>
    </w:rPr>
  </w:style>
  <w:style w:type="paragraph" w:styleId="BodyText3">
    <w:name w:val="Body Text 3"/>
    <w:basedOn w:val="Normal"/>
    <w:rsid w:val="00C903B6"/>
    <w:rPr>
      <w:rFonts w:ascii="Times" w:hAnsi="Times"/>
    </w:rPr>
  </w:style>
  <w:style w:type="paragraph" w:styleId="DocumentMap">
    <w:name w:val="Document Map"/>
    <w:basedOn w:val="Normal"/>
    <w:rsid w:val="00325024"/>
    <w:pPr>
      <w:shd w:val="clear" w:color="auto" w:fill="000080"/>
      <w:spacing w:after="0"/>
    </w:pPr>
    <w:rPr>
      <w:rFonts w:ascii="Helvetica" w:eastAsia="MS Gothic" w:hAnsi="Helvetica"/>
    </w:rPr>
  </w:style>
  <w:style w:type="table" w:styleId="TableGrid">
    <w:name w:val="Table Grid"/>
    <w:basedOn w:val="TableNormal"/>
    <w:rsid w:val="00325024"/>
    <w:pPr>
      <w:spacing w:after="12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semiHidden/>
    <w:rsid w:val="00C7561A"/>
    <w:rPr>
      <w:sz w:val="18"/>
    </w:rPr>
  </w:style>
  <w:style w:type="paragraph" w:styleId="CommentText">
    <w:name w:val="annotation text"/>
    <w:basedOn w:val="Normal"/>
    <w:semiHidden/>
    <w:rsid w:val="00C7561A"/>
  </w:style>
  <w:style w:type="paragraph" w:styleId="CommentSubject">
    <w:name w:val="annotation subject"/>
    <w:basedOn w:val="CommentText"/>
    <w:next w:val="CommentText"/>
    <w:semiHidden/>
    <w:rsid w:val="00C7561A"/>
    <w:rPr>
      <w:szCs w:val="20"/>
    </w:rPr>
  </w:style>
  <w:style w:type="paragraph" w:styleId="BalloonText">
    <w:name w:val="Balloon Text"/>
    <w:basedOn w:val="Normal"/>
    <w:semiHidden/>
    <w:rsid w:val="00C7561A"/>
    <w:rPr>
      <w:rFonts w:ascii="Lucida Grande" w:hAnsi="Lucida Grande"/>
      <w:sz w:val="18"/>
      <w:szCs w:val="18"/>
    </w:rPr>
  </w:style>
  <w:style w:type="paragraph" w:customStyle="1" w:styleId="Default">
    <w:name w:val="Default"/>
    <w:qFormat/>
    <w:rsid w:val="00577FF3"/>
    <w:pPr>
      <w:suppressAutoHyphens/>
    </w:pPr>
    <w:rPr>
      <w:rFonts w:ascii="Arial" w:eastAsia="Times New Roman" w:hAnsi="Arial"/>
      <w:sz w:val="22"/>
    </w:rPr>
  </w:style>
  <w:style w:type="paragraph" w:styleId="ListParagraph">
    <w:name w:val="List Paragraph"/>
    <w:basedOn w:val="Normal"/>
    <w:rsid w:val="00C978E6"/>
    <w:pPr>
      <w:ind w:left="720"/>
      <w:contextualSpacing/>
    </w:pPr>
  </w:style>
  <w:style w:type="character" w:styleId="FollowedHyperlink">
    <w:name w:val="FollowedHyperlink"/>
    <w:basedOn w:val="DefaultParagraphFont"/>
    <w:uiPriority w:val="99"/>
    <w:rsid w:val="000E2C16"/>
    <w:rPr>
      <w:color w:val="800080" w:themeColor="followedHyperlink"/>
      <w:u w:val="single"/>
    </w:rPr>
  </w:style>
  <w:style w:type="paragraph" w:customStyle="1" w:styleId="font5">
    <w:name w:val="font5"/>
    <w:basedOn w:val="Normal"/>
    <w:rsid w:val="00C044CE"/>
    <w:pPr>
      <w:spacing w:beforeLines="1" w:afterLines="1"/>
    </w:pPr>
    <w:rPr>
      <w:rFonts w:ascii="Verdana" w:hAnsi="Verdana"/>
      <w:sz w:val="16"/>
      <w:szCs w:val="16"/>
    </w:rPr>
  </w:style>
  <w:style w:type="paragraph" w:customStyle="1" w:styleId="font6">
    <w:name w:val="font6"/>
    <w:basedOn w:val="Normal"/>
    <w:rsid w:val="00C044CE"/>
    <w:pPr>
      <w:spacing w:beforeLines="1" w:afterLines="1"/>
    </w:pPr>
    <w:rPr>
      <w:sz w:val="24"/>
    </w:rPr>
  </w:style>
  <w:style w:type="paragraph" w:customStyle="1" w:styleId="xl24">
    <w:name w:val="xl24"/>
    <w:basedOn w:val="Normal"/>
    <w:rsid w:val="00C044CE"/>
    <w:pPr>
      <w:spacing w:beforeLines="1" w:afterLines="1"/>
    </w:pPr>
    <w:rPr>
      <w:sz w:val="24"/>
    </w:rPr>
  </w:style>
  <w:style w:type="paragraph" w:customStyle="1" w:styleId="xl25">
    <w:name w:val="xl25"/>
    <w:basedOn w:val="Normal"/>
    <w:rsid w:val="00C044CE"/>
    <w:pPr>
      <w:pBdr>
        <w:top w:val="single" w:sz="4" w:space="0" w:color="auto"/>
        <w:left w:val="single" w:sz="4" w:space="0" w:color="auto"/>
        <w:bottom w:val="single" w:sz="4" w:space="0" w:color="auto"/>
        <w:right w:val="single" w:sz="4" w:space="0" w:color="auto"/>
      </w:pBdr>
      <w:spacing w:beforeLines="1" w:afterLines="1"/>
    </w:pPr>
    <w:rPr>
      <w:sz w:val="24"/>
    </w:rPr>
  </w:style>
  <w:style w:type="paragraph" w:customStyle="1" w:styleId="xl26">
    <w:name w:val="xl26"/>
    <w:basedOn w:val="Normal"/>
    <w:rsid w:val="00C044CE"/>
    <w:pPr>
      <w:pBdr>
        <w:top w:val="single" w:sz="4" w:space="0" w:color="auto"/>
        <w:left w:val="single" w:sz="4" w:space="0" w:color="auto"/>
        <w:bottom w:val="single" w:sz="4" w:space="0" w:color="auto"/>
        <w:right w:val="single" w:sz="4" w:space="0" w:color="auto"/>
      </w:pBdr>
      <w:spacing w:beforeLines="1" w:afterLines="1"/>
    </w:pPr>
    <w:rPr>
      <w:color w:val="DD0806"/>
      <w:sz w:val="24"/>
    </w:rPr>
  </w:style>
  <w:style w:type="paragraph" w:customStyle="1" w:styleId="xl27">
    <w:name w:val="xl27"/>
    <w:basedOn w:val="Normal"/>
    <w:rsid w:val="00C044CE"/>
    <w:pPr>
      <w:spacing w:beforeLines="1" w:afterLines="1"/>
    </w:pPr>
    <w:rPr>
      <w:sz w:val="24"/>
    </w:rPr>
  </w:style>
  <w:style w:type="paragraph" w:customStyle="1" w:styleId="xl28">
    <w:name w:val="xl28"/>
    <w:basedOn w:val="Normal"/>
    <w:rsid w:val="00C044CE"/>
    <w:pPr>
      <w:pBdr>
        <w:top w:val="single" w:sz="4" w:space="0" w:color="auto"/>
        <w:left w:val="single" w:sz="4" w:space="0" w:color="auto"/>
        <w:bottom w:val="single" w:sz="4" w:space="0" w:color="auto"/>
        <w:right w:val="single" w:sz="4" w:space="0" w:color="auto"/>
      </w:pBdr>
      <w:spacing w:beforeLines="1" w:afterLines="1"/>
    </w:pPr>
    <w:rPr>
      <w:rFonts w:ascii="Times" w:hAnsi="Times"/>
      <w:szCs w:val="20"/>
    </w:rPr>
  </w:style>
  <w:style w:type="paragraph" w:customStyle="1" w:styleId="xl29">
    <w:name w:val="xl29"/>
    <w:basedOn w:val="Normal"/>
    <w:rsid w:val="00C044CE"/>
    <w:pPr>
      <w:pBdr>
        <w:top w:val="single" w:sz="4" w:space="0" w:color="auto"/>
        <w:left w:val="single" w:sz="4" w:space="0" w:color="auto"/>
        <w:bottom w:val="single" w:sz="4" w:space="0" w:color="auto"/>
        <w:right w:val="single" w:sz="4" w:space="0" w:color="auto"/>
      </w:pBdr>
      <w:spacing w:beforeLines="1" w:afterLines="1"/>
    </w:pPr>
    <w:rPr>
      <w:sz w:val="24"/>
    </w:rPr>
  </w:style>
</w:styles>
</file>

<file path=word/webSettings.xml><?xml version="1.0" encoding="utf-8"?>
<w:webSettings xmlns:r="http://schemas.openxmlformats.org/officeDocument/2006/relationships" xmlns:w="http://schemas.openxmlformats.org/wordprocessingml/2006/main">
  <w:divs>
    <w:div w:id="35085327">
      <w:bodyDiv w:val="1"/>
      <w:marLeft w:val="0"/>
      <w:marRight w:val="0"/>
      <w:marTop w:val="0"/>
      <w:marBottom w:val="0"/>
      <w:divBdr>
        <w:top w:val="none" w:sz="0" w:space="0" w:color="auto"/>
        <w:left w:val="none" w:sz="0" w:space="0" w:color="auto"/>
        <w:bottom w:val="none" w:sz="0" w:space="0" w:color="auto"/>
        <w:right w:val="none" w:sz="0" w:space="0" w:color="auto"/>
      </w:divBdr>
      <w:divsChild>
        <w:div w:id="50353844">
          <w:marLeft w:val="0"/>
          <w:marRight w:val="0"/>
          <w:marTop w:val="0"/>
          <w:marBottom w:val="0"/>
          <w:divBdr>
            <w:top w:val="none" w:sz="0" w:space="0" w:color="auto"/>
            <w:left w:val="none" w:sz="0" w:space="0" w:color="auto"/>
            <w:bottom w:val="none" w:sz="0" w:space="0" w:color="auto"/>
            <w:right w:val="none" w:sz="0" w:space="0" w:color="auto"/>
          </w:divBdr>
        </w:div>
        <w:div w:id="106580786">
          <w:marLeft w:val="0"/>
          <w:marRight w:val="0"/>
          <w:marTop w:val="0"/>
          <w:marBottom w:val="0"/>
          <w:divBdr>
            <w:top w:val="none" w:sz="0" w:space="0" w:color="auto"/>
            <w:left w:val="none" w:sz="0" w:space="0" w:color="auto"/>
            <w:bottom w:val="none" w:sz="0" w:space="0" w:color="auto"/>
            <w:right w:val="none" w:sz="0" w:space="0" w:color="auto"/>
          </w:divBdr>
        </w:div>
        <w:div w:id="202376773">
          <w:marLeft w:val="0"/>
          <w:marRight w:val="0"/>
          <w:marTop w:val="0"/>
          <w:marBottom w:val="0"/>
          <w:divBdr>
            <w:top w:val="none" w:sz="0" w:space="0" w:color="auto"/>
            <w:left w:val="none" w:sz="0" w:space="0" w:color="auto"/>
            <w:bottom w:val="none" w:sz="0" w:space="0" w:color="auto"/>
            <w:right w:val="none" w:sz="0" w:space="0" w:color="auto"/>
          </w:divBdr>
        </w:div>
        <w:div w:id="207303569">
          <w:marLeft w:val="0"/>
          <w:marRight w:val="0"/>
          <w:marTop w:val="0"/>
          <w:marBottom w:val="0"/>
          <w:divBdr>
            <w:top w:val="none" w:sz="0" w:space="0" w:color="auto"/>
            <w:left w:val="none" w:sz="0" w:space="0" w:color="auto"/>
            <w:bottom w:val="none" w:sz="0" w:space="0" w:color="auto"/>
            <w:right w:val="none" w:sz="0" w:space="0" w:color="auto"/>
          </w:divBdr>
        </w:div>
        <w:div w:id="493649894">
          <w:marLeft w:val="0"/>
          <w:marRight w:val="0"/>
          <w:marTop w:val="0"/>
          <w:marBottom w:val="0"/>
          <w:divBdr>
            <w:top w:val="none" w:sz="0" w:space="0" w:color="auto"/>
            <w:left w:val="none" w:sz="0" w:space="0" w:color="auto"/>
            <w:bottom w:val="none" w:sz="0" w:space="0" w:color="auto"/>
            <w:right w:val="none" w:sz="0" w:space="0" w:color="auto"/>
          </w:divBdr>
        </w:div>
        <w:div w:id="699400541">
          <w:marLeft w:val="0"/>
          <w:marRight w:val="0"/>
          <w:marTop w:val="0"/>
          <w:marBottom w:val="0"/>
          <w:divBdr>
            <w:top w:val="none" w:sz="0" w:space="0" w:color="auto"/>
            <w:left w:val="none" w:sz="0" w:space="0" w:color="auto"/>
            <w:bottom w:val="none" w:sz="0" w:space="0" w:color="auto"/>
            <w:right w:val="none" w:sz="0" w:space="0" w:color="auto"/>
          </w:divBdr>
        </w:div>
        <w:div w:id="871264207">
          <w:marLeft w:val="0"/>
          <w:marRight w:val="0"/>
          <w:marTop w:val="0"/>
          <w:marBottom w:val="0"/>
          <w:divBdr>
            <w:top w:val="none" w:sz="0" w:space="0" w:color="auto"/>
            <w:left w:val="none" w:sz="0" w:space="0" w:color="auto"/>
            <w:bottom w:val="none" w:sz="0" w:space="0" w:color="auto"/>
            <w:right w:val="none" w:sz="0" w:space="0" w:color="auto"/>
          </w:divBdr>
        </w:div>
        <w:div w:id="993801502">
          <w:marLeft w:val="0"/>
          <w:marRight w:val="0"/>
          <w:marTop w:val="0"/>
          <w:marBottom w:val="0"/>
          <w:divBdr>
            <w:top w:val="none" w:sz="0" w:space="0" w:color="auto"/>
            <w:left w:val="none" w:sz="0" w:space="0" w:color="auto"/>
            <w:bottom w:val="none" w:sz="0" w:space="0" w:color="auto"/>
            <w:right w:val="none" w:sz="0" w:space="0" w:color="auto"/>
          </w:divBdr>
        </w:div>
        <w:div w:id="1044720914">
          <w:marLeft w:val="0"/>
          <w:marRight w:val="0"/>
          <w:marTop w:val="0"/>
          <w:marBottom w:val="0"/>
          <w:divBdr>
            <w:top w:val="none" w:sz="0" w:space="0" w:color="auto"/>
            <w:left w:val="none" w:sz="0" w:space="0" w:color="auto"/>
            <w:bottom w:val="none" w:sz="0" w:space="0" w:color="auto"/>
            <w:right w:val="none" w:sz="0" w:space="0" w:color="auto"/>
          </w:divBdr>
        </w:div>
        <w:div w:id="1080717818">
          <w:marLeft w:val="0"/>
          <w:marRight w:val="0"/>
          <w:marTop w:val="0"/>
          <w:marBottom w:val="0"/>
          <w:divBdr>
            <w:top w:val="none" w:sz="0" w:space="0" w:color="auto"/>
            <w:left w:val="none" w:sz="0" w:space="0" w:color="auto"/>
            <w:bottom w:val="none" w:sz="0" w:space="0" w:color="auto"/>
            <w:right w:val="none" w:sz="0" w:space="0" w:color="auto"/>
          </w:divBdr>
        </w:div>
        <w:div w:id="1085683782">
          <w:marLeft w:val="0"/>
          <w:marRight w:val="0"/>
          <w:marTop w:val="0"/>
          <w:marBottom w:val="0"/>
          <w:divBdr>
            <w:top w:val="none" w:sz="0" w:space="0" w:color="auto"/>
            <w:left w:val="none" w:sz="0" w:space="0" w:color="auto"/>
            <w:bottom w:val="none" w:sz="0" w:space="0" w:color="auto"/>
            <w:right w:val="none" w:sz="0" w:space="0" w:color="auto"/>
          </w:divBdr>
        </w:div>
        <w:div w:id="1415472169">
          <w:marLeft w:val="0"/>
          <w:marRight w:val="0"/>
          <w:marTop w:val="0"/>
          <w:marBottom w:val="0"/>
          <w:divBdr>
            <w:top w:val="none" w:sz="0" w:space="0" w:color="auto"/>
            <w:left w:val="none" w:sz="0" w:space="0" w:color="auto"/>
            <w:bottom w:val="none" w:sz="0" w:space="0" w:color="auto"/>
            <w:right w:val="none" w:sz="0" w:space="0" w:color="auto"/>
          </w:divBdr>
        </w:div>
        <w:div w:id="1443957419">
          <w:marLeft w:val="0"/>
          <w:marRight w:val="0"/>
          <w:marTop w:val="0"/>
          <w:marBottom w:val="0"/>
          <w:divBdr>
            <w:top w:val="none" w:sz="0" w:space="0" w:color="auto"/>
            <w:left w:val="none" w:sz="0" w:space="0" w:color="auto"/>
            <w:bottom w:val="none" w:sz="0" w:space="0" w:color="auto"/>
            <w:right w:val="none" w:sz="0" w:space="0" w:color="auto"/>
          </w:divBdr>
        </w:div>
        <w:div w:id="1447386533">
          <w:marLeft w:val="0"/>
          <w:marRight w:val="0"/>
          <w:marTop w:val="0"/>
          <w:marBottom w:val="0"/>
          <w:divBdr>
            <w:top w:val="none" w:sz="0" w:space="0" w:color="auto"/>
            <w:left w:val="none" w:sz="0" w:space="0" w:color="auto"/>
            <w:bottom w:val="none" w:sz="0" w:space="0" w:color="auto"/>
            <w:right w:val="none" w:sz="0" w:space="0" w:color="auto"/>
          </w:divBdr>
        </w:div>
        <w:div w:id="1501853569">
          <w:marLeft w:val="0"/>
          <w:marRight w:val="0"/>
          <w:marTop w:val="0"/>
          <w:marBottom w:val="0"/>
          <w:divBdr>
            <w:top w:val="none" w:sz="0" w:space="0" w:color="auto"/>
            <w:left w:val="none" w:sz="0" w:space="0" w:color="auto"/>
            <w:bottom w:val="none" w:sz="0" w:space="0" w:color="auto"/>
            <w:right w:val="none" w:sz="0" w:space="0" w:color="auto"/>
          </w:divBdr>
        </w:div>
        <w:div w:id="1632980614">
          <w:marLeft w:val="0"/>
          <w:marRight w:val="0"/>
          <w:marTop w:val="0"/>
          <w:marBottom w:val="0"/>
          <w:divBdr>
            <w:top w:val="none" w:sz="0" w:space="0" w:color="auto"/>
            <w:left w:val="none" w:sz="0" w:space="0" w:color="auto"/>
            <w:bottom w:val="none" w:sz="0" w:space="0" w:color="auto"/>
            <w:right w:val="none" w:sz="0" w:space="0" w:color="auto"/>
          </w:divBdr>
        </w:div>
        <w:div w:id="1819179680">
          <w:marLeft w:val="0"/>
          <w:marRight w:val="0"/>
          <w:marTop w:val="0"/>
          <w:marBottom w:val="0"/>
          <w:divBdr>
            <w:top w:val="none" w:sz="0" w:space="0" w:color="auto"/>
            <w:left w:val="none" w:sz="0" w:space="0" w:color="auto"/>
            <w:bottom w:val="none" w:sz="0" w:space="0" w:color="auto"/>
            <w:right w:val="none" w:sz="0" w:space="0" w:color="auto"/>
          </w:divBdr>
        </w:div>
        <w:div w:id="1853639635">
          <w:marLeft w:val="0"/>
          <w:marRight w:val="0"/>
          <w:marTop w:val="0"/>
          <w:marBottom w:val="0"/>
          <w:divBdr>
            <w:top w:val="none" w:sz="0" w:space="0" w:color="auto"/>
            <w:left w:val="none" w:sz="0" w:space="0" w:color="auto"/>
            <w:bottom w:val="none" w:sz="0" w:space="0" w:color="auto"/>
            <w:right w:val="none" w:sz="0" w:space="0" w:color="auto"/>
          </w:divBdr>
        </w:div>
      </w:divsChild>
    </w:div>
    <w:div w:id="38552323">
      <w:bodyDiv w:val="1"/>
      <w:marLeft w:val="0"/>
      <w:marRight w:val="0"/>
      <w:marTop w:val="0"/>
      <w:marBottom w:val="0"/>
      <w:divBdr>
        <w:top w:val="none" w:sz="0" w:space="0" w:color="auto"/>
        <w:left w:val="none" w:sz="0" w:space="0" w:color="auto"/>
        <w:bottom w:val="none" w:sz="0" w:space="0" w:color="auto"/>
        <w:right w:val="none" w:sz="0" w:space="0" w:color="auto"/>
      </w:divBdr>
    </w:div>
    <w:div w:id="138572827">
      <w:bodyDiv w:val="1"/>
      <w:marLeft w:val="0"/>
      <w:marRight w:val="0"/>
      <w:marTop w:val="0"/>
      <w:marBottom w:val="0"/>
      <w:divBdr>
        <w:top w:val="none" w:sz="0" w:space="0" w:color="auto"/>
        <w:left w:val="none" w:sz="0" w:space="0" w:color="auto"/>
        <w:bottom w:val="none" w:sz="0" w:space="0" w:color="auto"/>
        <w:right w:val="none" w:sz="0" w:space="0" w:color="auto"/>
      </w:divBdr>
    </w:div>
    <w:div w:id="152719015">
      <w:bodyDiv w:val="1"/>
      <w:marLeft w:val="0"/>
      <w:marRight w:val="0"/>
      <w:marTop w:val="0"/>
      <w:marBottom w:val="0"/>
      <w:divBdr>
        <w:top w:val="none" w:sz="0" w:space="0" w:color="auto"/>
        <w:left w:val="none" w:sz="0" w:space="0" w:color="auto"/>
        <w:bottom w:val="none" w:sz="0" w:space="0" w:color="auto"/>
        <w:right w:val="none" w:sz="0" w:space="0" w:color="auto"/>
      </w:divBdr>
    </w:div>
    <w:div w:id="237445570">
      <w:bodyDiv w:val="1"/>
      <w:marLeft w:val="0"/>
      <w:marRight w:val="0"/>
      <w:marTop w:val="0"/>
      <w:marBottom w:val="0"/>
      <w:divBdr>
        <w:top w:val="none" w:sz="0" w:space="0" w:color="auto"/>
        <w:left w:val="none" w:sz="0" w:space="0" w:color="auto"/>
        <w:bottom w:val="none" w:sz="0" w:space="0" w:color="auto"/>
        <w:right w:val="none" w:sz="0" w:space="0" w:color="auto"/>
      </w:divBdr>
    </w:div>
    <w:div w:id="303118471">
      <w:bodyDiv w:val="1"/>
      <w:marLeft w:val="0"/>
      <w:marRight w:val="0"/>
      <w:marTop w:val="0"/>
      <w:marBottom w:val="0"/>
      <w:divBdr>
        <w:top w:val="none" w:sz="0" w:space="0" w:color="auto"/>
        <w:left w:val="none" w:sz="0" w:space="0" w:color="auto"/>
        <w:bottom w:val="none" w:sz="0" w:space="0" w:color="auto"/>
        <w:right w:val="none" w:sz="0" w:space="0" w:color="auto"/>
      </w:divBdr>
    </w:div>
    <w:div w:id="369688785">
      <w:bodyDiv w:val="1"/>
      <w:marLeft w:val="0"/>
      <w:marRight w:val="0"/>
      <w:marTop w:val="0"/>
      <w:marBottom w:val="0"/>
      <w:divBdr>
        <w:top w:val="none" w:sz="0" w:space="0" w:color="auto"/>
        <w:left w:val="none" w:sz="0" w:space="0" w:color="auto"/>
        <w:bottom w:val="none" w:sz="0" w:space="0" w:color="auto"/>
        <w:right w:val="none" w:sz="0" w:space="0" w:color="auto"/>
      </w:divBdr>
    </w:div>
    <w:div w:id="394209838">
      <w:bodyDiv w:val="1"/>
      <w:marLeft w:val="0"/>
      <w:marRight w:val="0"/>
      <w:marTop w:val="0"/>
      <w:marBottom w:val="0"/>
      <w:divBdr>
        <w:top w:val="none" w:sz="0" w:space="0" w:color="auto"/>
        <w:left w:val="none" w:sz="0" w:space="0" w:color="auto"/>
        <w:bottom w:val="none" w:sz="0" w:space="0" w:color="auto"/>
        <w:right w:val="none" w:sz="0" w:space="0" w:color="auto"/>
      </w:divBdr>
    </w:div>
    <w:div w:id="685324281">
      <w:bodyDiv w:val="1"/>
      <w:marLeft w:val="0"/>
      <w:marRight w:val="0"/>
      <w:marTop w:val="0"/>
      <w:marBottom w:val="0"/>
      <w:divBdr>
        <w:top w:val="none" w:sz="0" w:space="0" w:color="auto"/>
        <w:left w:val="none" w:sz="0" w:space="0" w:color="auto"/>
        <w:bottom w:val="none" w:sz="0" w:space="0" w:color="auto"/>
        <w:right w:val="none" w:sz="0" w:space="0" w:color="auto"/>
      </w:divBdr>
    </w:div>
    <w:div w:id="908612205">
      <w:bodyDiv w:val="1"/>
      <w:marLeft w:val="0"/>
      <w:marRight w:val="0"/>
      <w:marTop w:val="0"/>
      <w:marBottom w:val="0"/>
      <w:divBdr>
        <w:top w:val="none" w:sz="0" w:space="0" w:color="auto"/>
        <w:left w:val="none" w:sz="0" w:space="0" w:color="auto"/>
        <w:bottom w:val="none" w:sz="0" w:space="0" w:color="auto"/>
        <w:right w:val="none" w:sz="0" w:space="0" w:color="auto"/>
      </w:divBdr>
    </w:div>
    <w:div w:id="981351942">
      <w:bodyDiv w:val="1"/>
      <w:marLeft w:val="0"/>
      <w:marRight w:val="0"/>
      <w:marTop w:val="0"/>
      <w:marBottom w:val="0"/>
      <w:divBdr>
        <w:top w:val="none" w:sz="0" w:space="0" w:color="auto"/>
        <w:left w:val="none" w:sz="0" w:space="0" w:color="auto"/>
        <w:bottom w:val="none" w:sz="0" w:space="0" w:color="auto"/>
        <w:right w:val="none" w:sz="0" w:space="0" w:color="auto"/>
      </w:divBdr>
    </w:div>
    <w:div w:id="1019428456">
      <w:bodyDiv w:val="1"/>
      <w:marLeft w:val="0"/>
      <w:marRight w:val="0"/>
      <w:marTop w:val="0"/>
      <w:marBottom w:val="0"/>
      <w:divBdr>
        <w:top w:val="none" w:sz="0" w:space="0" w:color="auto"/>
        <w:left w:val="none" w:sz="0" w:space="0" w:color="auto"/>
        <w:bottom w:val="none" w:sz="0" w:space="0" w:color="auto"/>
        <w:right w:val="none" w:sz="0" w:space="0" w:color="auto"/>
      </w:divBdr>
    </w:div>
    <w:div w:id="1233082854">
      <w:bodyDiv w:val="1"/>
      <w:marLeft w:val="0"/>
      <w:marRight w:val="0"/>
      <w:marTop w:val="0"/>
      <w:marBottom w:val="0"/>
      <w:divBdr>
        <w:top w:val="none" w:sz="0" w:space="0" w:color="auto"/>
        <w:left w:val="none" w:sz="0" w:space="0" w:color="auto"/>
        <w:bottom w:val="none" w:sz="0" w:space="0" w:color="auto"/>
        <w:right w:val="none" w:sz="0" w:space="0" w:color="auto"/>
      </w:divBdr>
    </w:div>
    <w:div w:id="1506240617">
      <w:bodyDiv w:val="1"/>
      <w:marLeft w:val="0"/>
      <w:marRight w:val="0"/>
      <w:marTop w:val="0"/>
      <w:marBottom w:val="0"/>
      <w:divBdr>
        <w:top w:val="none" w:sz="0" w:space="0" w:color="auto"/>
        <w:left w:val="none" w:sz="0" w:space="0" w:color="auto"/>
        <w:bottom w:val="none" w:sz="0" w:space="0" w:color="auto"/>
        <w:right w:val="none" w:sz="0" w:space="0" w:color="auto"/>
      </w:divBdr>
    </w:div>
    <w:div w:id="1722049195">
      <w:bodyDiv w:val="1"/>
      <w:marLeft w:val="0"/>
      <w:marRight w:val="0"/>
      <w:marTop w:val="0"/>
      <w:marBottom w:val="0"/>
      <w:divBdr>
        <w:top w:val="none" w:sz="0" w:space="0" w:color="auto"/>
        <w:left w:val="none" w:sz="0" w:space="0" w:color="auto"/>
        <w:bottom w:val="none" w:sz="0" w:space="0" w:color="auto"/>
        <w:right w:val="none" w:sz="0" w:space="0" w:color="auto"/>
      </w:divBdr>
    </w:div>
    <w:div w:id="1757943581">
      <w:bodyDiv w:val="1"/>
      <w:marLeft w:val="0"/>
      <w:marRight w:val="0"/>
      <w:marTop w:val="0"/>
      <w:marBottom w:val="0"/>
      <w:divBdr>
        <w:top w:val="none" w:sz="0" w:space="0" w:color="auto"/>
        <w:left w:val="none" w:sz="0" w:space="0" w:color="auto"/>
        <w:bottom w:val="none" w:sz="0" w:space="0" w:color="auto"/>
        <w:right w:val="none" w:sz="0" w:space="0" w:color="auto"/>
      </w:divBdr>
    </w:div>
    <w:div w:id="1768889304">
      <w:bodyDiv w:val="1"/>
      <w:marLeft w:val="0"/>
      <w:marRight w:val="0"/>
      <w:marTop w:val="0"/>
      <w:marBottom w:val="0"/>
      <w:divBdr>
        <w:top w:val="none" w:sz="0" w:space="0" w:color="auto"/>
        <w:left w:val="none" w:sz="0" w:space="0" w:color="auto"/>
        <w:bottom w:val="none" w:sz="0" w:space="0" w:color="auto"/>
        <w:right w:val="none" w:sz="0" w:space="0" w:color="auto"/>
      </w:divBdr>
    </w:div>
    <w:div w:id="1932006894">
      <w:bodyDiv w:val="1"/>
      <w:marLeft w:val="0"/>
      <w:marRight w:val="0"/>
      <w:marTop w:val="0"/>
      <w:marBottom w:val="0"/>
      <w:divBdr>
        <w:top w:val="none" w:sz="0" w:space="0" w:color="auto"/>
        <w:left w:val="none" w:sz="0" w:space="0" w:color="auto"/>
        <w:bottom w:val="none" w:sz="0" w:space="0" w:color="auto"/>
        <w:right w:val="none" w:sz="0" w:space="0" w:color="auto"/>
      </w:divBdr>
    </w:div>
    <w:div w:id="1939631945">
      <w:bodyDiv w:val="1"/>
      <w:marLeft w:val="0"/>
      <w:marRight w:val="0"/>
      <w:marTop w:val="0"/>
      <w:marBottom w:val="0"/>
      <w:divBdr>
        <w:top w:val="none" w:sz="0" w:space="0" w:color="auto"/>
        <w:left w:val="none" w:sz="0" w:space="0" w:color="auto"/>
        <w:bottom w:val="none" w:sz="0" w:space="0" w:color="auto"/>
        <w:right w:val="none" w:sz="0" w:space="0" w:color="auto"/>
      </w:divBdr>
    </w:div>
    <w:div w:id="1973486070">
      <w:bodyDiv w:val="1"/>
      <w:marLeft w:val="0"/>
      <w:marRight w:val="0"/>
      <w:marTop w:val="0"/>
      <w:marBottom w:val="0"/>
      <w:divBdr>
        <w:top w:val="none" w:sz="0" w:space="0" w:color="auto"/>
        <w:left w:val="none" w:sz="0" w:space="0" w:color="auto"/>
        <w:bottom w:val="none" w:sz="0" w:space="0" w:color="auto"/>
        <w:right w:val="none" w:sz="0" w:space="0" w:color="auto"/>
      </w:divBdr>
      <w:divsChild>
        <w:div w:id="1915042159">
          <w:marLeft w:val="0"/>
          <w:marRight w:val="0"/>
          <w:marTop w:val="0"/>
          <w:marBottom w:val="0"/>
          <w:divBdr>
            <w:top w:val="none" w:sz="0" w:space="0" w:color="auto"/>
            <w:left w:val="none" w:sz="0" w:space="0" w:color="auto"/>
            <w:bottom w:val="none" w:sz="0" w:space="0" w:color="auto"/>
            <w:right w:val="none" w:sz="0" w:space="0" w:color="auto"/>
          </w:divBdr>
          <w:divsChild>
            <w:div w:id="1913159198">
              <w:marLeft w:val="0"/>
              <w:marRight w:val="0"/>
              <w:marTop w:val="0"/>
              <w:marBottom w:val="0"/>
              <w:divBdr>
                <w:top w:val="none" w:sz="0" w:space="0" w:color="auto"/>
                <w:left w:val="none" w:sz="0" w:space="0" w:color="auto"/>
                <w:bottom w:val="none" w:sz="0" w:space="0" w:color="auto"/>
                <w:right w:val="none" w:sz="0" w:space="0" w:color="auto"/>
              </w:divBdr>
              <w:divsChild>
                <w:div w:id="610018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6614643">
      <w:bodyDiv w:val="1"/>
      <w:marLeft w:val="0"/>
      <w:marRight w:val="0"/>
      <w:marTop w:val="0"/>
      <w:marBottom w:val="0"/>
      <w:divBdr>
        <w:top w:val="none" w:sz="0" w:space="0" w:color="auto"/>
        <w:left w:val="none" w:sz="0" w:space="0" w:color="auto"/>
        <w:bottom w:val="none" w:sz="0" w:space="0" w:color="auto"/>
        <w:right w:val="none" w:sz="0" w:space="0" w:color="auto"/>
      </w:divBdr>
      <w:divsChild>
        <w:div w:id="582566126">
          <w:marLeft w:val="0"/>
          <w:marRight w:val="0"/>
          <w:marTop w:val="0"/>
          <w:marBottom w:val="0"/>
          <w:divBdr>
            <w:top w:val="none" w:sz="0" w:space="0" w:color="auto"/>
            <w:left w:val="none" w:sz="0" w:space="0" w:color="auto"/>
            <w:bottom w:val="none" w:sz="0" w:space="0" w:color="auto"/>
            <w:right w:val="none" w:sz="0" w:space="0" w:color="auto"/>
          </w:divBdr>
        </w:div>
      </w:divsChild>
    </w:div>
  </w:divs>
  <w:encoding w:val="windows-1252"/>
  <w:doNotSaveAsSingleFile/>
  <w:pixelsPerInch w:val="96"/>
</w:webSettings>
</file>

<file path=word/_rels/document.xml.rels><?xml version="1.0" encoding="UTF-8" standalone="yes"?>
<Relationships xmlns="http://schemas.openxmlformats.org/package/2006/relationships"><Relationship Id="rId101" Type="http://schemas.openxmlformats.org/officeDocument/2006/relationships/image" Target="media/image84.pict"/><Relationship Id="rId102" Type="http://schemas.openxmlformats.org/officeDocument/2006/relationships/hyperlink" Target="http://archive.stsci.edu/kepler/documents.html" TargetMode="External"/><Relationship Id="rId103" Type="http://schemas.openxmlformats.org/officeDocument/2006/relationships/header" Target="header2.xml"/><Relationship Id="rId104" Type="http://schemas.openxmlformats.org/officeDocument/2006/relationships/footer" Target="footer2.xml"/><Relationship Id="rId105" Type="http://schemas.openxmlformats.org/officeDocument/2006/relationships/fontTable" Target="fontTable.xml"/><Relationship Id="rId106"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jpeg"/><Relationship Id="rId8" Type="http://schemas.openxmlformats.org/officeDocument/2006/relationships/image" Target="media/image2.wmf"/><Relationship Id="rId9" Type="http://schemas.openxmlformats.org/officeDocument/2006/relationships/header" Target="header1.xml"/><Relationship Id="rId10" Type="http://schemas.openxmlformats.org/officeDocument/2006/relationships/footer" Target="footer1.xml"/><Relationship Id="rId11" Type="http://schemas.openxmlformats.org/officeDocument/2006/relationships/image" Target="media/image3.jpeg"/><Relationship Id="rId12" Type="http://schemas.openxmlformats.org/officeDocument/2006/relationships/image" Target="media/image4.png"/><Relationship Id="rId13" Type="http://schemas.openxmlformats.org/officeDocument/2006/relationships/hyperlink" Target="http://keplerscience.arc.nasa.gov" TargetMode="External"/><Relationship Id="rId14" Type="http://schemas.openxmlformats.org/officeDocument/2006/relationships/image" Target="media/image5.jpeg"/><Relationship Id="rId15" Type="http://schemas.openxmlformats.org/officeDocument/2006/relationships/image" Target="media/image6.png"/><Relationship Id="rId16" Type="http://schemas.openxmlformats.org/officeDocument/2006/relationships/image" Target="media/image7.emf"/><Relationship Id="rId17" Type="http://schemas.openxmlformats.org/officeDocument/2006/relationships/image" Target="media/image8.png"/><Relationship Id="rId18" Type="http://schemas.openxmlformats.org/officeDocument/2006/relationships/image" Target="media/image9.png"/><Relationship Id="rId19" Type="http://schemas.openxmlformats.org/officeDocument/2006/relationships/image" Target="media/image10.png"/><Relationship Id="rId30" Type="http://schemas.openxmlformats.org/officeDocument/2006/relationships/image" Target="media/image21.png"/><Relationship Id="rId31" Type="http://schemas.openxmlformats.org/officeDocument/2006/relationships/image" Target="media/image22.png"/><Relationship Id="rId32" Type="http://schemas.openxmlformats.org/officeDocument/2006/relationships/image" Target="media/image23.pict"/><Relationship Id="rId33" Type="http://schemas.openxmlformats.org/officeDocument/2006/relationships/image" Target="media/image24.png"/><Relationship Id="rId34" Type="http://schemas.openxmlformats.org/officeDocument/2006/relationships/image" Target="media/image25.pict"/><Relationship Id="rId35" Type="http://schemas.openxmlformats.org/officeDocument/2006/relationships/image" Target="media/image26.pdf"/><Relationship Id="rId39" Type="http://schemas.openxmlformats.org/officeDocument/2006/relationships/image" Target="media/image26.png"/><Relationship Id="rId50" Type="http://schemas.openxmlformats.org/officeDocument/2006/relationships/image" Target="media/image37.png"/><Relationship Id="rId51" Type="http://schemas.openxmlformats.org/officeDocument/2006/relationships/image" Target="media/image38.png"/><Relationship Id="rId52" Type="http://schemas.openxmlformats.org/officeDocument/2006/relationships/image" Target="media/image39.png"/><Relationship Id="rId53" Type="http://schemas.openxmlformats.org/officeDocument/2006/relationships/image" Target="media/image40.png"/><Relationship Id="rId54" Type="http://schemas.openxmlformats.org/officeDocument/2006/relationships/image" Target="media/image41.png"/><Relationship Id="rId55" Type="http://schemas.openxmlformats.org/officeDocument/2006/relationships/image" Target="media/image42.jpeg"/><Relationship Id="rId56" Type="http://schemas.openxmlformats.org/officeDocument/2006/relationships/image" Target="media/image43.emf"/><Relationship Id="rId57" Type="http://schemas.openxmlformats.org/officeDocument/2006/relationships/image" Target="media/image44.png"/><Relationship Id="rId58" Type="http://schemas.openxmlformats.org/officeDocument/2006/relationships/image" Target="media/image45.png"/><Relationship Id="rId59" Type="http://schemas.openxmlformats.org/officeDocument/2006/relationships/image" Target="media/image46.png"/><Relationship Id="rId70" Type="http://schemas.openxmlformats.org/officeDocument/2006/relationships/image" Target="media/image54.png"/><Relationship Id="rId71" Type="http://schemas.openxmlformats.org/officeDocument/2006/relationships/image" Target="media/image55.pict"/><Relationship Id="rId72" Type="http://schemas.openxmlformats.org/officeDocument/2006/relationships/image" Target="media/image56.png"/><Relationship Id="rId73" Type="http://schemas.openxmlformats.org/officeDocument/2006/relationships/image" Target="media/image57.png"/><Relationship Id="rId74" Type="http://schemas.openxmlformats.org/officeDocument/2006/relationships/image" Target="media/image58.png"/><Relationship Id="rId75" Type="http://schemas.openxmlformats.org/officeDocument/2006/relationships/image" Target="media/image59.png"/><Relationship Id="rId76" Type="http://schemas.openxmlformats.org/officeDocument/2006/relationships/image" Target="media/image60.png"/><Relationship Id="rId77" Type="http://schemas.openxmlformats.org/officeDocument/2006/relationships/image" Target="media/image61.png"/><Relationship Id="rId78" Type="http://schemas.openxmlformats.org/officeDocument/2006/relationships/image" Target="media/image62.png"/><Relationship Id="rId79" Type="http://schemas.openxmlformats.org/officeDocument/2006/relationships/image" Target="media/image63.png"/><Relationship Id="rId90" Type="http://schemas.openxmlformats.org/officeDocument/2006/relationships/image" Target="media/image74.pict"/><Relationship Id="rId91" Type="http://schemas.openxmlformats.org/officeDocument/2006/relationships/image" Target="media/image75.png"/><Relationship Id="rId92" Type="http://schemas.openxmlformats.org/officeDocument/2006/relationships/image" Target="media/image76.pict"/><Relationship Id="rId93" Type="http://schemas.openxmlformats.org/officeDocument/2006/relationships/image" Target="media/image77.png"/><Relationship Id="rId94" Type="http://schemas.openxmlformats.org/officeDocument/2006/relationships/image" Target="media/image78.pict"/><Relationship Id="rId95" Type="http://schemas.openxmlformats.org/officeDocument/2006/relationships/image" Target="media/image79.png"/><Relationship Id="rId96" Type="http://schemas.openxmlformats.org/officeDocument/2006/relationships/image" Target="media/image80.pict"/><Relationship Id="rId97" Type="http://schemas.openxmlformats.org/officeDocument/2006/relationships/oleObject" Target="embeddings/Microsoft_Equation1.bin"/><Relationship Id="rId98" Type="http://schemas.openxmlformats.org/officeDocument/2006/relationships/image" Target="media/image81.png"/><Relationship Id="rId99" Type="http://schemas.openxmlformats.org/officeDocument/2006/relationships/image" Target="media/image82.pict"/><Relationship Id="rId20" Type="http://schemas.openxmlformats.org/officeDocument/2006/relationships/image" Target="media/image11.png"/><Relationship Id="rId21" Type="http://schemas.openxmlformats.org/officeDocument/2006/relationships/image" Target="media/image12.png"/><Relationship Id="rId22" Type="http://schemas.openxmlformats.org/officeDocument/2006/relationships/image" Target="media/image13.png"/><Relationship Id="rId23" Type="http://schemas.openxmlformats.org/officeDocument/2006/relationships/image" Target="media/image14.emf"/><Relationship Id="rId24" Type="http://schemas.openxmlformats.org/officeDocument/2006/relationships/image" Target="media/image15.emf"/><Relationship Id="rId25" Type="http://schemas.openxmlformats.org/officeDocument/2006/relationships/image" Target="media/image16.emf"/><Relationship Id="rId26" Type="http://schemas.openxmlformats.org/officeDocument/2006/relationships/image" Target="media/image17.emf"/><Relationship Id="rId27" Type="http://schemas.openxmlformats.org/officeDocument/2006/relationships/image" Target="media/image18.png"/><Relationship Id="rId28" Type="http://schemas.openxmlformats.org/officeDocument/2006/relationships/image" Target="media/image19.png"/><Relationship Id="rId29" Type="http://schemas.openxmlformats.org/officeDocument/2006/relationships/image" Target="media/image20.png"/><Relationship Id="rId40" Type="http://schemas.openxmlformats.org/officeDocument/2006/relationships/image" Target="media/image27.emf"/><Relationship Id="rId41" Type="http://schemas.openxmlformats.org/officeDocument/2006/relationships/image" Target="media/image28.tiff"/><Relationship Id="rId42" Type="http://schemas.openxmlformats.org/officeDocument/2006/relationships/image" Target="media/image29.tiff"/><Relationship Id="rId43" Type="http://schemas.openxmlformats.org/officeDocument/2006/relationships/image" Target="media/image30.tiff"/><Relationship Id="rId44" Type="http://schemas.openxmlformats.org/officeDocument/2006/relationships/image" Target="media/image31.tiff"/><Relationship Id="rId45" Type="http://schemas.openxmlformats.org/officeDocument/2006/relationships/image" Target="media/image32.emf"/><Relationship Id="rId46" Type="http://schemas.openxmlformats.org/officeDocument/2006/relationships/image" Target="media/image33.png"/><Relationship Id="rId47" Type="http://schemas.openxmlformats.org/officeDocument/2006/relationships/image" Target="media/image34.wmf"/><Relationship Id="rId48" Type="http://schemas.openxmlformats.org/officeDocument/2006/relationships/image" Target="media/image35.emf"/><Relationship Id="rId49" Type="http://schemas.openxmlformats.org/officeDocument/2006/relationships/image" Target="media/image36.png"/><Relationship Id="rId60" Type="http://schemas.openxmlformats.org/officeDocument/2006/relationships/image" Target="media/image47.png"/><Relationship Id="rId61" Type="http://schemas.openxmlformats.org/officeDocument/2006/relationships/image" Target="media/image48.emf"/><Relationship Id="rId62" Type="http://schemas.openxmlformats.org/officeDocument/2006/relationships/image" Target="media/image49.wmf"/><Relationship Id="rId63" Type="http://schemas.openxmlformats.org/officeDocument/2006/relationships/image" Target="media/image50.pdf"/><Relationship Id="rId66" Type="http://schemas.openxmlformats.org/officeDocument/2006/relationships/image" Target="media/image501.png"/><Relationship Id="rId67" Type="http://schemas.openxmlformats.org/officeDocument/2006/relationships/image" Target="media/image51.png"/><Relationship Id="rId68" Type="http://schemas.openxmlformats.org/officeDocument/2006/relationships/image" Target="media/image52.tiff"/><Relationship Id="rId69" Type="http://schemas.openxmlformats.org/officeDocument/2006/relationships/image" Target="media/image53.tiff"/><Relationship Id="rId100" Type="http://schemas.openxmlformats.org/officeDocument/2006/relationships/image" Target="media/image83.png"/><Relationship Id="rId80" Type="http://schemas.openxmlformats.org/officeDocument/2006/relationships/image" Target="media/image64.tiff"/><Relationship Id="rId81" Type="http://schemas.openxmlformats.org/officeDocument/2006/relationships/image" Target="media/image65.tiff"/><Relationship Id="rId82" Type="http://schemas.openxmlformats.org/officeDocument/2006/relationships/image" Target="media/image66.emf"/><Relationship Id="rId83" Type="http://schemas.openxmlformats.org/officeDocument/2006/relationships/image" Target="media/image67.png"/><Relationship Id="rId84" Type="http://schemas.openxmlformats.org/officeDocument/2006/relationships/image" Target="media/image68.pict"/><Relationship Id="rId85" Type="http://schemas.openxmlformats.org/officeDocument/2006/relationships/image" Target="media/image69.png"/><Relationship Id="rId86" Type="http://schemas.openxmlformats.org/officeDocument/2006/relationships/image" Target="media/image70.pict"/><Relationship Id="rId87" Type="http://schemas.openxmlformats.org/officeDocument/2006/relationships/image" Target="media/image71.png"/><Relationship Id="rId88" Type="http://schemas.openxmlformats.org/officeDocument/2006/relationships/image" Target="media/image72.pict"/><Relationship Id="rId89" Type="http://schemas.openxmlformats.org/officeDocument/2006/relationships/image" Target="media/image7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TotalTime>
  <Pages>98</Pages>
  <Words>28088</Words>
  <Characters>160106</Characters>
  <Application>Microsoft Macintosh Word</Application>
  <DocSecurity>0</DocSecurity>
  <Lines>1334</Lines>
  <Paragraphs>320</Paragraphs>
  <ScaleCrop>false</ScaleCrop>
  <HeadingPairs>
    <vt:vector size="2" baseType="variant">
      <vt:variant>
        <vt:lpstr>Title</vt:lpstr>
      </vt:variant>
      <vt:variant>
        <vt:i4>1</vt:i4>
      </vt:variant>
    </vt:vector>
  </HeadingPairs>
  <TitlesOfParts>
    <vt:vector size="1" baseType="lpstr">
      <vt:lpstr>Kepler: A Search for Terrestrial Planets</vt:lpstr>
    </vt:vector>
  </TitlesOfParts>
  <Company>NASA Ames Research Center</Company>
  <LinksUpToDate>false</LinksUpToDate>
  <CharactersWithSpaces>196621</CharactersWithSpaces>
  <SharedDoc>false</SharedDoc>
  <HLinks>
    <vt:vector size="12" baseType="variant">
      <vt:variant>
        <vt:i4>3145776</vt:i4>
      </vt:variant>
      <vt:variant>
        <vt:i4>1194</vt:i4>
      </vt:variant>
      <vt:variant>
        <vt:i4>0</vt:i4>
      </vt:variant>
      <vt:variant>
        <vt:i4>5</vt:i4>
      </vt:variant>
      <vt:variant>
        <vt:lpwstr>http://archive.stsci.edu/kepler/documents.html</vt:lpwstr>
      </vt:variant>
      <vt:variant>
        <vt:lpwstr/>
      </vt:variant>
      <vt:variant>
        <vt:i4>1704052</vt:i4>
      </vt:variant>
      <vt:variant>
        <vt:i4>534</vt:i4>
      </vt:variant>
      <vt:variant>
        <vt:i4>0</vt:i4>
      </vt:variant>
      <vt:variant>
        <vt:i4>5</vt:i4>
      </vt:variant>
      <vt:variant>
        <vt:lpwstr>http://keplerscience.arc.nasa.gov</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Kepler: A Search for Terrestrial Planets</dc:title>
  <dc:subject/>
  <dc:creator>Jeff Shapiro</dc:creator>
  <cp:keywords/>
  <cp:lastModifiedBy>Jeffrey Van Cleve</cp:lastModifiedBy>
  <cp:revision>6</cp:revision>
  <cp:lastPrinted>2016-04-19T17:38:00Z</cp:lastPrinted>
  <dcterms:created xsi:type="dcterms:W3CDTF">2016-04-22T17:49:00Z</dcterms:created>
  <dcterms:modified xsi:type="dcterms:W3CDTF">2016-04-22T18:01:00Z</dcterms:modified>
</cp:coreProperties>
</file>